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0ED3F0" w14:textId="77777777" w:rsidR="009F5AD3" w:rsidRDefault="00937917" w:rsidP="009F5AD3">
      <w:pPr>
        <w:jc w:val="right"/>
        <w:rPr>
          <w:b/>
          <w:bCs/>
          <w:sz w:val="36"/>
          <w:szCs w:val="36"/>
        </w:rPr>
      </w:pPr>
      <w:r w:rsidRPr="00937917">
        <w:rPr>
          <w:b/>
          <w:bCs/>
          <w:noProof/>
          <w:sz w:val="36"/>
          <w:szCs w:val="36"/>
        </w:rPr>
        <w:drawing>
          <wp:anchor distT="0" distB="0" distL="114300" distR="114300" simplePos="0" relativeHeight="251658240" behindDoc="0" locked="0" layoutInCell="1" allowOverlap="1" wp14:anchorId="5E4A43DA" wp14:editId="5C16E30B">
            <wp:simplePos x="0" y="0"/>
            <wp:positionH relativeFrom="column">
              <wp:posOffset>4076700</wp:posOffset>
            </wp:positionH>
            <wp:positionV relativeFrom="paragraph">
              <wp:posOffset>0</wp:posOffset>
            </wp:positionV>
            <wp:extent cx="1862211" cy="1009650"/>
            <wp:effectExtent l="0" t="0" r="5080" b="0"/>
            <wp:wrapSquare wrapText="bothSides"/>
            <wp:docPr id="163565706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862211" cy="10096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DAFF142" w14:textId="00954531" w:rsidR="009F5AD3" w:rsidRDefault="009A75F8" w:rsidP="009F5AD3">
      <w:pPr>
        <w:rPr>
          <w:b/>
          <w:bCs/>
          <w:sz w:val="36"/>
          <w:szCs w:val="36"/>
        </w:rPr>
      </w:pPr>
      <w:r>
        <w:rPr>
          <w:b/>
          <w:bCs/>
          <w:sz w:val="36"/>
          <w:szCs w:val="36"/>
        </w:rPr>
        <w:t xml:space="preserve">APPENDIX </w:t>
      </w:r>
      <w:r w:rsidR="004A1219">
        <w:rPr>
          <w:b/>
          <w:bCs/>
          <w:sz w:val="36"/>
          <w:szCs w:val="36"/>
        </w:rPr>
        <w:t>A</w:t>
      </w:r>
    </w:p>
    <w:p w14:paraId="20603866" w14:textId="77777777" w:rsidR="009C6377" w:rsidRDefault="009C6377" w:rsidP="009F5AD3">
      <w:pPr>
        <w:rPr>
          <w:b/>
          <w:bCs/>
          <w:sz w:val="36"/>
          <w:szCs w:val="36"/>
        </w:rPr>
      </w:pPr>
    </w:p>
    <w:p w14:paraId="339135B2" w14:textId="611EBD17" w:rsidR="00856761" w:rsidRPr="00856761" w:rsidRDefault="0085497C" w:rsidP="009F5AD3">
      <w:pPr>
        <w:rPr>
          <w:b/>
          <w:bCs/>
          <w:sz w:val="36"/>
          <w:szCs w:val="36"/>
        </w:rPr>
      </w:pPr>
      <w:r>
        <w:rPr>
          <w:b/>
          <w:bCs/>
          <w:sz w:val="36"/>
          <w:szCs w:val="36"/>
        </w:rPr>
        <w:t>Final 2026 Tax Package</w:t>
      </w:r>
      <w:r w:rsidR="005B74B6">
        <w:rPr>
          <w:b/>
          <w:bCs/>
          <w:sz w:val="36"/>
          <w:szCs w:val="36"/>
        </w:rPr>
        <w:t xml:space="preserve"> – HB 7031E</w:t>
      </w:r>
    </w:p>
    <w:p w14:paraId="6C17729D" w14:textId="2C2D24CF" w:rsidR="005E7CFC" w:rsidRDefault="00E45CB5" w:rsidP="00097002">
      <w:r>
        <w:t xml:space="preserve">Due to the stalemate </w:t>
      </w:r>
      <w:r w:rsidR="00FC086D">
        <w:t>on</w:t>
      </w:r>
      <w:r>
        <w:t xml:space="preserve"> the state budget</w:t>
      </w:r>
      <w:r w:rsidR="00FC086D">
        <w:t xml:space="preserve">, the Legislature did not finish the new tax package during the regular session either. </w:t>
      </w:r>
      <w:r w:rsidR="008F694B">
        <w:t xml:space="preserve">The House and Senate </w:t>
      </w:r>
      <w:r w:rsidR="00560199">
        <w:t>each</w:t>
      </w:r>
      <w:r w:rsidR="00A02186">
        <w:t xml:space="preserve"> had</w:t>
      </w:r>
      <w:r w:rsidR="008F694B">
        <w:t xml:space="preserve"> </w:t>
      </w:r>
      <w:r w:rsidR="00560199">
        <w:t xml:space="preserve">their own </w:t>
      </w:r>
      <w:r w:rsidR="00635451">
        <w:t xml:space="preserve">tax </w:t>
      </w:r>
      <w:r w:rsidR="007632BC">
        <w:t xml:space="preserve">relief </w:t>
      </w:r>
      <w:r w:rsidR="00635451">
        <w:t>bill</w:t>
      </w:r>
      <w:r w:rsidR="00D25698">
        <w:t>, r</w:t>
      </w:r>
      <w:r w:rsidR="00560199">
        <w:t xml:space="preserve">elatively modest ones </w:t>
      </w:r>
      <w:r w:rsidR="00F737DB">
        <w:t xml:space="preserve">when compared </w:t>
      </w:r>
      <w:r w:rsidR="00D25698">
        <w:t>to recent years</w:t>
      </w:r>
      <w:r w:rsidR="00A02186">
        <w:t xml:space="preserve">. The </w:t>
      </w:r>
      <w:r w:rsidR="00142498">
        <w:t xml:space="preserve">Senate </w:t>
      </w:r>
      <w:r w:rsidR="00A02186">
        <w:t>proposed only $</w:t>
      </w:r>
      <w:r w:rsidR="00190EB4">
        <w:t>80 million in relief</w:t>
      </w:r>
      <w:r w:rsidR="00B146BC">
        <w:t xml:space="preserve">, the House </w:t>
      </w:r>
      <w:r w:rsidR="006034B5">
        <w:t xml:space="preserve">package </w:t>
      </w:r>
      <w:r w:rsidR="00263F22">
        <w:t xml:space="preserve">came in at </w:t>
      </w:r>
      <w:r w:rsidR="006034B5">
        <w:t>a little over $300</w:t>
      </w:r>
      <w:r w:rsidR="0011357C">
        <w:t xml:space="preserve"> million. </w:t>
      </w:r>
      <w:r w:rsidR="003F2F73">
        <w:t xml:space="preserve">They shared a </w:t>
      </w:r>
      <w:r w:rsidR="003D2538">
        <w:t xml:space="preserve">few </w:t>
      </w:r>
      <w:r w:rsidR="00D04B19">
        <w:t>provisions and</w:t>
      </w:r>
      <w:r w:rsidR="003D2538">
        <w:t xml:space="preserve"> were also similar in that most </w:t>
      </w:r>
      <w:r w:rsidR="00FE73A7">
        <w:t xml:space="preserve">of </w:t>
      </w:r>
      <w:r w:rsidR="003314B9">
        <w:t>the tax relief</w:t>
      </w:r>
      <w:r w:rsidR="003D2538">
        <w:t xml:space="preserve"> w</w:t>
      </w:r>
      <w:r w:rsidR="003314B9">
        <w:t>as</w:t>
      </w:r>
      <w:r w:rsidR="003D2538">
        <w:t xml:space="preserve"> non-recurring</w:t>
      </w:r>
      <w:r w:rsidR="0093351B">
        <w:t xml:space="preserve"> and</w:t>
      </w:r>
      <w:r w:rsidR="003D2538">
        <w:t xml:space="preserve"> most of </w:t>
      </w:r>
      <w:r w:rsidR="00FE73A7">
        <w:t>revenue impact was on local government.</w:t>
      </w:r>
      <w:r w:rsidR="00020C46">
        <w:t xml:space="preserve"> </w:t>
      </w:r>
      <w:r w:rsidR="0093351B">
        <w:t xml:space="preserve">Both bills also had several </w:t>
      </w:r>
      <w:r w:rsidR="00983448">
        <w:t xml:space="preserve">property tax and tax administration provisions.  </w:t>
      </w:r>
      <w:r w:rsidR="00020C46">
        <w:t xml:space="preserve">The bills were placed </w:t>
      </w:r>
      <w:proofErr w:type="gramStart"/>
      <w:r w:rsidR="00020C46">
        <w:t>in conference</w:t>
      </w:r>
      <w:proofErr w:type="gramEnd"/>
      <w:r w:rsidR="00020C46">
        <w:t xml:space="preserve">, to be </w:t>
      </w:r>
      <w:r w:rsidR="004F5D4A">
        <w:t>finalized in a special session</w:t>
      </w:r>
      <w:r w:rsidR="00D04B19">
        <w:t xml:space="preserve"> along with the budget.</w:t>
      </w:r>
    </w:p>
    <w:p w14:paraId="2EDA96DA" w14:textId="7C8672F7" w:rsidR="00B64743" w:rsidRDefault="00F43EB4" w:rsidP="00097002">
      <w:r>
        <w:t xml:space="preserve">The result was </w:t>
      </w:r>
      <w:r w:rsidR="00B92DA0">
        <w:t>a $</w:t>
      </w:r>
      <w:r w:rsidR="00D91EC8">
        <w:t xml:space="preserve">290 </w:t>
      </w:r>
      <w:r w:rsidR="00B92DA0">
        <w:t>million</w:t>
      </w:r>
      <w:r w:rsidR="006204DF">
        <w:t xml:space="preserve"> tax package, which retained most of the characterist</w:t>
      </w:r>
      <w:r w:rsidR="00A31A7E">
        <w:t>ics mention</w:t>
      </w:r>
      <w:r w:rsidR="00CC0FC7">
        <w:t>ed</w:t>
      </w:r>
      <w:r w:rsidR="00A31A7E">
        <w:t xml:space="preserve"> above. </w:t>
      </w:r>
      <w:r w:rsidR="00236D39">
        <w:t>Much of</w:t>
      </w:r>
      <w:r w:rsidR="00A31A7E">
        <w:t xml:space="preserve"> the </w:t>
      </w:r>
      <w:r w:rsidR="00026080">
        <w:t xml:space="preserve">tax savings </w:t>
      </w:r>
      <w:r w:rsidR="00236D39">
        <w:t>are</w:t>
      </w:r>
      <w:r w:rsidR="00026080">
        <w:t xml:space="preserve"> non-recurring, </w:t>
      </w:r>
      <w:r w:rsidR="00CC51BF">
        <w:t>including four that will last two or three years.</w:t>
      </w:r>
      <w:r w:rsidR="009F3714">
        <w:t xml:space="preserve"> Only</w:t>
      </w:r>
      <w:r w:rsidR="00617A41">
        <w:t xml:space="preserve"> </w:t>
      </w:r>
      <w:r w:rsidR="009305DD">
        <w:t>$</w:t>
      </w:r>
      <w:r w:rsidR="00EF3D2C">
        <w:t>10</w:t>
      </w:r>
      <w:r w:rsidR="00C6414E">
        <w:t>6.7 million</w:t>
      </w:r>
      <w:r w:rsidR="00236D39">
        <w:t xml:space="preserve"> </w:t>
      </w:r>
      <w:r w:rsidR="00F25101">
        <w:t xml:space="preserve">is </w:t>
      </w:r>
      <w:r w:rsidR="009305DD">
        <w:t>recurring, and</w:t>
      </w:r>
      <w:r w:rsidR="00F25101">
        <w:t xml:space="preserve"> most of that is local ($</w:t>
      </w:r>
      <w:r w:rsidR="007E43E4">
        <w:t>77.0</w:t>
      </w:r>
      <w:r w:rsidR="00F25101">
        <w:t xml:space="preserve"> million). </w:t>
      </w:r>
      <w:r w:rsidR="00717708">
        <w:t xml:space="preserve">(See </w:t>
      </w:r>
      <w:r w:rsidR="00A24ED9">
        <w:t>Total Tax Savings table</w:t>
      </w:r>
      <w:r w:rsidR="00413C41">
        <w:t xml:space="preserve"> below)</w:t>
      </w:r>
      <w:r w:rsidR="00B64743">
        <w:t>.</w:t>
      </w:r>
    </w:p>
    <w:p w14:paraId="2E135901" w14:textId="55BA86B0" w:rsidR="000E621E" w:rsidRDefault="00B64743" w:rsidP="00097002">
      <w:r>
        <w:t xml:space="preserve">The largest tax cut </w:t>
      </w:r>
      <w:r w:rsidR="000E621E">
        <w:t>is a property tax assessment cap</w:t>
      </w:r>
      <w:r w:rsidR="00CF3AE5">
        <w:t xml:space="preserve"> (3 percent, like Save Our Homes)</w:t>
      </w:r>
      <w:r w:rsidR="000E621E">
        <w:t xml:space="preserve"> for mobile</w:t>
      </w:r>
      <w:r w:rsidR="00EE2ABD">
        <w:t xml:space="preserve"> homes in long-term parks</w:t>
      </w:r>
      <w:r w:rsidR="007E6DDA">
        <w:t xml:space="preserve">, which will save $65.2 million annually.  </w:t>
      </w:r>
      <w:r w:rsidR="003161BF">
        <w:t xml:space="preserve">The two largest state tax cuts </w:t>
      </w:r>
      <w:r w:rsidR="003C7FA7">
        <w:t xml:space="preserve">are a sales tax exemption for home hardening </w:t>
      </w:r>
      <w:r w:rsidR="003C743B">
        <w:t>produc</w:t>
      </w:r>
      <w:r w:rsidR="009C2531">
        <w:t xml:space="preserve">ts </w:t>
      </w:r>
      <w:r w:rsidR="00BD55ED">
        <w:t>($45.</w:t>
      </w:r>
      <w:r w:rsidR="00966F52">
        <w:t xml:space="preserve">2 </w:t>
      </w:r>
      <w:r w:rsidR="00AA31D3">
        <w:t xml:space="preserve">million state and </w:t>
      </w:r>
      <w:r w:rsidR="00E903E9">
        <w:t>$12.</w:t>
      </w:r>
      <w:r w:rsidR="00966F52">
        <w:t xml:space="preserve">8 </w:t>
      </w:r>
      <w:r w:rsidR="00F15890">
        <w:t>million local) and a four-month sales tax holiday for hunting, fishing</w:t>
      </w:r>
      <w:r w:rsidR="006221BE">
        <w:t>, and camping supplies ($</w:t>
      </w:r>
      <w:r w:rsidR="00245261">
        <w:t>31.2</w:t>
      </w:r>
      <w:r w:rsidR="006221BE">
        <w:t xml:space="preserve"> million state and $</w:t>
      </w:r>
      <w:r w:rsidR="00245261">
        <w:t>8.8</w:t>
      </w:r>
      <w:r w:rsidR="006221BE">
        <w:t xml:space="preserve"> local).</w:t>
      </w:r>
      <w:r w:rsidR="001858F5">
        <w:t xml:space="preserve"> Other cuts include </w:t>
      </w:r>
      <w:r w:rsidR="000B61B6">
        <w:t xml:space="preserve">a </w:t>
      </w:r>
      <w:r w:rsidR="001858F5">
        <w:t xml:space="preserve">sales tax exemption for tickets to </w:t>
      </w:r>
      <w:r w:rsidR="009866AF">
        <w:t>certain tennis tournaments (Miami Open) and reduction in the tax on slot</w:t>
      </w:r>
      <w:r w:rsidR="00D31BB0">
        <w:t xml:space="preserve"> machines and cardrooms. </w:t>
      </w:r>
    </w:p>
    <w:p w14:paraId="563F221B" w14:textId="6E990359" w:rsidR="00D31BB0" w:rsidRDefault="00D31BB0" w:rsidP="00097002">
      <w:pPr>
        <w:rPr>
          <w:b/>
          <w:bCs/>
        </w:rPr>
      </w:pPr>
      <w:r>
        <w:t xml:space="preserve">There are also </w:t>
      </w:r>
      <w:r w:rsidR="001E4147">
        <w:t xml:space="preserve">some good tax administration provisions, the best of which is </w:t>
      </w:r>
      <w:r w:rsidR="003D70D9">
        <w:t xml:space="preserve">a </w:t>
      </w:r>
      <w:r w:rsidR="001E4147">
        <w:t>long overdue</w:t>
      </w:r>
      <w:r w:rsidR="003D70D9">
        <w:t xml:space="preserve"> improvement </w:t>
      </w:r>
      <w:r w:rsidR="00FA073E">
        <w:t xml:space="preserve">in the </w:t>
      </w:r>
      <w:r w:rsidR="008E4EB6" w:rsidRPr="008E4EB6">
        <w:t>Department of Revenue’s process for paying interest on refunds, which makes it difficult for many taxpayers to recover interest.</w:t>
      </w:r>
      <w:r w:rsidR="00FA073E">
        <w:t xml:space="preserve"> </w:t>
      </w:r>
      <w:r w:rsidR="00952E34">
        <w:t>(see tax administration section)</w:t>
      </w:r>
      <w:r w:rsidR="00B13A02">
        <w:t xml:space="preserve"> </w:t>
      </w:r>
      <w:r w:rsidR="00797B0B" w:rsidRPr="00B13A02">
        <w:rPr>
          <w:b/>
          <w:bCs/>
        </w:rPr>
        <w:t>This has been a priority o</w:t>
      </w:r>
      <w:r w:rsidR="00952E34" w:rsidRPr="00B13A02">
        <w:rPr>
          <w:b/>
          <w:bCs/>
        </w:rPr>
        <w:t xml:space="preserve">f </w:t>
      </w:r>
      <w:r w:rsidR="008E4EB6" w:rsidRPr="00B13A02">
        <w:rPr>
          <w:b/>
          <w:bCs/>
        </w:rPr>
        <w:t>Florida TaxWatch</w:t>
      </w:r>
      <w:r w:rsidR="00952E34" w:rsidRPr="00B13A02">
        <w:rPr>
          <w:b/>
          <w:bCs/>
        </w:rPr>
        <w:t xml:space="preserve"> and our Tax Advisory Counci</w:t>
      </w:r>
      <w:r w:rsidR="00B13A02" w:rsidRPr="00B13A02">
        <w:rPr>
          <w:b/>
          <w:bCs/>
        </w:rPr>
        <w:t>l</w:t>
      </w:r>
      <w:r w:rsidR="00952E34" w:rsidRPr="00B13A02">
        <w:rPr>
          <w:b/>
          <w:bCs/>
        </w:rPr>
        <w:t>.</w:t>
      </w:r>
    </w:p>
    <w:p w14:paraId="704992DF" w14:textId="0DD49F0E" w:rsidR="00974FA7" w:rsidRPr="007D1934" w:rsidRDefault="00974FA7" w:rsidP="00097002">
      <w:r w:rsidRPr="007D1934">
        <w:t xml:space="preserve">Many of the provisions in the </w:t>
      </w:r>
      <w:r w:rsidR="00823A03" w:rsidRPr="007D1934">
        <w:t xml:space="preserve">original </w:t>
      </w:r>
      <w:r w:rsidRPr="007D1934">
        <w:t xml:space="preserve">House </w:t>
      </w:r>
      <w:r w:rsidR="00823A03" w:rsidRPr="007D1934">
        <w:t>and</w:t>
      </w:r>
      <w:r w:rsidRPr="007D1934">
        <w:t xml:space="preserve"> Senate tax package</w:t>
      </w:r>
      <w:r w:rsidR="00823A03" w:rsidRPr="007D1934">
        <w:t>s</w:t>
      </w:r>
      <w:r w:rsidRPr="007D1934">
        <w:t xml:space="preserve"> did not make it into the final bill, including </w:t>
      </w:r>
      <w:r w:rsidR="00D25997" w:rsidRPr="007D1934">
        <w:t>a tax discount fo</w:t>
      </w:r>
      <w:r w:rsidR="003D10D2">
        <w:t>r</w:t>
      </w:r>
      <w:r w:rsidR="00D25997" w:rsidRPr="007D1934">
        <w:t xml:space="preserve"> domestic beer, sales and property tax exemptions for Space Florida, </w:t>
      </w:r>
      <w:r w:rsidR="007D1934" w:rsidRPr="007D1934">
        <w:t>and an exemption for surplus lines flood insurance.</w:t>
      </w:r>
    </w:p>
    <w:p w14:paraId="5B2905A3" w14:textId="2FECE4D4" w:rsidR="00097002" w:rsidRPr="00B64743" w:rsidRDefault="00F849D5" w:rsidP="00097002">
      <w:r>
        <w:rPr>
          <w:b/>
          <w:bCs/>
          <w:sz w:val="28"/>
          <w:szCs w:val="28"/>
        </w:rPr>
        <w:br/>
      </w:r>
      <w:r w:rsidR="00BE223D" w:rsidRPr="00FE6472">
        <w:rPr>
          <w:b/>
          <w:bCs/>
          <w:sz w:val="32"/>
          <w:szCs w:val="32"/>
        </w:rPr>
        <w:t>Sales Tax</w:t>
      </w:r>
    </w:p>
    <w:p w14:paraId="7BC18E03" w14:textId="1E12ECE8" w:rsidR="00123581" w:rsidRPr="00DF0A48" w:rsidRDefault="00123581" w:rsidP="00123581">
      <w:r w:rsidRPr="00DF0A48">
        <w:rPr>
          <w:b/>
          <w:bCs/>
        </w:rPr>
        <w:lastRenderedPageBreak/>
        <w:t>Hunting, Fishing, and Camping Sales Tax Holiday</w:t>
      </w:r>
      <w:r w:rsidRPr="00DF0A48">
        <w:t xml:space="preserve"> - From September 1, 2026, through December 31, 2026, items including firearms, ammunition, firearm accessories, bows, crossbows, rods, reels, tackle, tents, sleeping bags, camp stoves, hammocks, lanterns and flashlights will be exempt from the sales and use tax. Firearms, accessories, and ammunition do not have price limits, but other items do, such as tents ($200), most other camping supplies ($50), and rods and reels ($75 each). Supplies used for commercial fishing are not exempt.</w:t>
      </w:r>
    </w:p>
    <w:p w14:paraId="4B71F0F1" w14:textId="77777777" w:rsidR="00123581" w:rsidRPr="00DF0A48" w:rsidRDefault="00123581" w:rsidP="00416C97">
      <w:r w:rsidRPr="00416C97">
        <w:rPr>
          <w:b/>
          <w:bCs/>
          <w:i/>
          <w:iCs/>
        </w:rPr>
        <w:t>Recommended by House and Senate.</w:t>
      </w:r>
      <w:r>
        <w:rPr>
          <w:b/>
          <w:bCs/>
        </w:rPr>
        <w:t xml:space="preserve">  </w:t>
      </w:r>
      <w:r w:rsidRPr="00DF0A48">
        <w:t xml:space="preserve"> The Senate bill had a one-week shorter holiday, beginning on September 7, 2026. The Senate proposed some firearm accessories in its holiday but also proposed a separate year-long exemption for firearms accessories which </w:t>
      </w:r>
      <w:proofErr w:type="gramStart"/>
      <w:r w:rsidRPr="00DF0A48">
        <w:t>was</w:t>
      </w:r>
      <w:proofErr w:type="gramEnd"/>
      <w:r w:rsidRPr="00DF0A48">
        <w:t xml:space="preserve"> not included in the bill. The conference added a long list of accessories to the holiday.</w:t>
      </w:r>
    </w:p>
    <w:p w14:paraId="6D351E19" w14:textId="224BB6F5" w:rsidR="00123581" w:rsidRPr="00F62523" w:rsidRDefault="00123581" w:rsidP="00416C97">
      <w:pPr>
        <w:rPr>
          <w:b/>
          <w:bCs/>
          <w:i/>
          <w:iCs/>
          <w:highlight w:val="green"/>
        </w:rPr>
      </w:pPr>
      <w:r w:rsidRPr="00DF0A48">
        <w:rPr>
          <w:b/>
          <w:bCs/>
          <w:i/>
          <w:iCs/>
        </w:rPr>
        <w:t>Taxpayer Savings</w:t>
      </w:r>
      <w:proofErr w:type="gramStart"/>
      <w:r w:rsidRPr="00DF0A48">
        <w:rPr>
          <w:b/>
          <w:bCs/>
          <w:i/>
          <w:iCs/>
        </w:rPr>
        <w:t>:  State</w:t>
      </w:r>
      <w:proofErr w:type="gramEnd"/>
      <w:r w:rsidRPr="00DF0A48">
        <w:rPr>
          <w:b/>
          <w:bCs/>
          <w:i/>
          <w:iCs/>
        </w:rPr>
        <w:t xml:space="preserve"> (GR) - $3</w:t>
      </w:r>
      <w:r w:rsidR="00476317">
        <w:rPr>
          <w:b/>
          <w:bCs/>
          <w:i/>
          <w:iCs/>
        </w:rPr>
        <w:t>1</w:t>
      </w:r>
      <w:r w:rsidRPr="00DF0A48">
        <w:rPr>
          <w:b/>
          <w:bCs/>
          <w:i/>
          <w:iCs/>
        </w:rPr>
        <w:t>.2 million     Local - $</w:t>
      </w:r>
      <w:r w:rsidR="00476317">
        <w:rPr>
          <w:b/>
          <w:bCs/>
          <w:i/>
          <w:iCs/>
        </w:rPr>
        <w:t>8.8</w:t>
      </w:r>
      <w:r w:rsidR="00236FB7">
        <w:rPr>
          <w:b/>
          <w:bCs/>
          <w:i/>
          <w:iCs/>
        </w:rPr>
        <w:t xml:space="preserve"> </w:t>
      </w:r>
      <w:r w:rsidRPr="00DF0A48">
        <w:rPr>
          <w:b/>
          <w:bCs/>
          <w:i/>
          <w:iCs/>
        </w:rPr>
        <w:t>million     Total - $</w:t>
      </w:r>
      <w:r w:rsidR="00476317">
        <w:rPr>
          <w:b/>
          <w:bCs/>
          <w:i/>
          <w:iCs/>
        </w:rPr>
        <w:t>40.0</w:t>
      </w:r>
      <w:r w:rsidRPr="00DF0A48">
        <w:rPr>
          <w:b/>
          <w:bCs/>
          <w:i/>
          <w:iCs/>
        </w:rPr>
        <w:t xml:space="preserve"> million</w:t>
      </w:r>
    </w:p>
    <w:p w14:paraId="28212A79" w14:textId="77777777" w:rsidR="00416C97" w:rsidRDefault="00416C97" w:rsidP="007E1780">
      <w:pPr>
        <w:rPr>
          <w:b/>
          <w:bCs/>
        </w:rPr>
      </w:pPr>
    </w:p>
    <w:p w14:paraId="221AE8D1" w14:textId="68B3D9C2" w:rsidR="007E1780" w:rsidRPr="0095063A" w:rsidRDefault="007E1780" w:rsidP="007E1780">
      <w:r w:rsidRPr="0095063A">
        <w:rPr>
          <w:b/>
          <w:bCs/>
        </w:rPr>
        <w:t xml:space="preserve">Home </w:t>
      </w:r>
      <w:r>
        <w:rPr>
          <w:b/>
          <w:bCs/>
        </w:rPr>
        <w:t>H</w:t>
      </w:r>
      <w:r w:rsidRPr="0095063A">
        <w:rPr>
          <w:b/>
          <w:bCs/>
        </w:rPr>
        <w:t xml:space="preserve">ardening </w:t>
      </w:r>
      <w:r>
        <w:rPr>
          <w:b/>
          <w:bCs/>
        </w:rPr>
        <w:t>P</w:t>
      </w:r>
      <w:r w:rsidRPr="0095063A">
        <w:rPr>
          <w:b/>
          <w:bCs/>
        </w:rPr>
        <w:t>roducts</w:t>
      </w:r>
      <w:r w:rsidR="009F5DFA">
        <w:rPr>
          <w:b/>
          <w:bCs/>
        </w:rPr>
        <w:t xml:space="preserve"> (three years)</w:t>
      </w:r>
      <w:r w:rsidRPr="0095063A">
        <w:t xml:space="preserve"> – The bill creates a three-year sales tax refund for impact-resistant doors, garage doors, and windows. This would only apply to site-built homes with a homestead exemption and a maximum value of $700,000. An owner may receive up to $500 in refunded sales tax. The home hardening products must be purchased from July 1, 2026, through June 30. Taxpayers have until September 30, 2029. to apply for the refund.</w:t>
      </w:r>
    </w:p>
    <w:p w14:paraId="7D626560" w14:textId="77777777" w:rsidR="007E1780" w:rsidRPr="002D5B07" w:rsidRDefault="007E1780" w:rsidP="007E1780">
      <w:pPr>
        <w:rPr>
          <w:i/>
          <w:iCs/>
        </w:rPr>
      </w:pPr>
      <w:r w:rsidRPr="00416C97">
        <w:rPr>
          <w:b/>
          <w:bCs/>
          <w:i/>
          <w:iCs/>
        </w:rPr>
        <w:t>Recommended by House.</w:t>
      </w:r>
      <w:r>
        <w:rPr>
          <w:b/>
          <w:bCs/>
        </w:rPr>
        <w:t xml:space="preserve"> </w:t>
      </w:r>
      <w:r>
        <w:t>Conference changed it from a two-year exemption to three-year.</w:t>
      </w:r>
    </w:p>
    <w:p w14:paraId="42D810B5" w14:textId="62AC91AB" w:rsidR="007E1780" w:rsidRPr="0095063A" w:rsidRDefault="00507339" w:rsidP="007E1780">
      <w:pPr>
        <w:rPr>
          <w:b/>
          <w:bCs/>
          <w:i/>
          <w:iCs/>
        </w:rPr>
      </w:pPr>
      <w:r>
        <w:rPr>
          <w:b/>
          <w:bCs/>
          <w:i/>
          <w:iCs/>
        </w:rPr>
        <w:t>Total 3-Year</w:t>
      </w:r>
      <w:r w:rsidR="007E1780" w:rsidRPr="0095063A">
        <w:rPr>
          <w:b/>
          <w:bCs/>
          <w:i/>
          <w:iCs/>
        </w:rPr>
        <w:t xml:space="preserve"> Savings</w:t>
      </w:r>
      <w:proofErr w:type="gramStart"/>
      <w:r w:rsidR="007E1780" w:rsidRPr="0095063A">
        <w:rPr>
          <w:b/>
          <w:bCs/>
          <w:i/>
          <w:iCs/>
        </w:rPr>
        <w:t>:  State</w:t>
      </w:r>
      <w:proofErr w:type="gramEnd"/>
      <w:r w:rsidR="007E1780" w:rsidRPr="0095063A">
        <w:rPr>
          <w:b/>
          <w:bCs/>
          <w:i/>
          <w:iCs/>
        </w:rPr>
        <w:t xml:space="preserve"> - $</w:t>
      </w:r>
      <w:r>
        <w:rPr>
          <w:b/>
          <w:bCs/>
          <w:i/>
          <w:iCs/>
        </w:rPr>
        <w:t>45</w:t>
      </w:r>
      <w:r w:rsidR="007E1780" w:rsidRPr="0095063A">
        <w:rPr>
          <w:b/>
          <w:bCs/>
          <w:i/>
          <w:iCs/>
        </w:rPr>
        <w:t>.</w:t>
      </w:r>
      <w:r w:rsidR="00C62986">
        <w:rPr>
          <w:b/>
          <w:bCs/>
          <w:i/>
          <w:iCs/>
        </w:rPr>
        <w:t>2</w:t>
      </w:r>
      <w:r w:rsidR="007E1780" w:rsidRPr="0095063A">
        <w:rPr>
          <w:b/>
          <w:bCs/>
          <w:i/>
          <w:iCs/>
        </w:rPr>
        <w:t xml:space="preserve"> million   Local - $</w:t>
      </w:r>
      <w:r>
        <w:rPr>
          <w:b/>
          <w:bCs/>
          <w:i/>
          <w:iCs/>
        </w:rPr>
        <w:t>12.</w:t>
      </w:r>
      <w:r w:rsidR="00C62986">
        <w:rPr>
          <w:b/>
          <w:bCs/>
          <w:i/>
          <w:iCs/>
        </w:rPr>
        <w:t>8</w:t>
      </w:r>
      <w:r w:rsidR="007E1780" w:rsidRPr="0095063A">
        <w:rPr>
          <w:b/>
          <w:bCs/>
          <w:i/>
          <w:iCs/>
        </w:rPr>
        <w:t xml:space="preserve"> million    Total - $</w:t>
      </w:r>
      <w:r w:rsidR="00DB3446">
        <w:rPr>
          <w:b/>
          <w:bCs/>
          <w:i/>
          <w:iCs/>
        </w:rPr>
        <w:t>58.0</w:t>
      </w:r>
      <w:r w:rsidR="007E1780" w:rsidRPr="0095063A">
        <w:rPr>
          <w:b/>
          <w:bCs/>
          <w:i/>
          <w:iCs/>
        </w:rPr>
        <w:t xml:space="preserve"> million </w:t>
      </w:r>
    </w:p>
    <w:p w14:paraId="339F814D" w14:textId="77777777" w:rsidR="007E1780" w:rsidRDefault="007E1780" w:rsidP="00F24F14">
      <w:pPr>
        <w:tabs>
          <w:tab w:val="left" w:pos="2207"/>
          <w:tab w:val="left" w:pos="6660"/>
        </w:tabs>
        <w:spacing w:before="157"/>
        <w:rPr>
          <w:rFonts w:ascii="Aptos" w:hAnsi="Aptos"/>
          <w:b/>
          <w:bCs/>
          <w:iCs/>
        </w:rPr>
      </w:pPr>
    </w:p>
    <w:p w14:paraId="4811976A" w14:textId="049A6EF6" w:rsidR="00F24F14" w:rsidRDefault="00F24F14" w:rsidP="00F24F14">
      <w:pPr>
        <w:tabs>
          <w:tab w:val="left" w:pos="2207"/>
          <w:tab w:val="left" w:pos="6660"/>
        </w:tabs>
        <w:spacing w:before="157"/>
        <w:rPr>
          <w:rFonts w:ascii="Aptos" w:hAnsi="Aptos"/>
          <w:iCs/>
        </w:rPr>
      </w:pPr>
      <w:r w:rsidRPr="00BF1D1A">
        <w:rPr>
          <w:rFonts w:ascii="Aptos" w:hAnsi="Aptos"/>
          <w:b/>
          <w:bCs/>
          <w:iCs/>
        </w:rPr>
        <w:t>Tennis Exemption</w:t>
      </w:r>
      <w:r>
        <w:rPr>
          <w:rFonts w:ascii="Aptos" w:hAnsi="Aptos"/>
          <w:iCs/>
        </w:rPr>
        <w:t xml:space="preserve"> </w:t>
      </w:r>
      <w:r w:rsidR="002A5138">
        <w:rPr>
          <w:rFonts w:ascii="Aptos" w:hAnsi="Aptos"/>
          <w:iCs/>
        </w:rPr>
        <w:t xml:space="preserve">(three years) </w:t>
      </w:r>
      <w:r w:rsidRPr="00BF1D1A">
        <w:rPr>
          <w:rFonts w:ascii="Aptos" w:hAnsi="Aptos"/>
          <w:iCs/>
        </w:rPr>
        <w:t>– This adds some tennis tournaments to a long list of tickets to sporting, cultural, and recreational events that are exempt from sales tax. Admissions to any Association of Tennis Professionals’ ATP Masters 1000 tournament or any Women’s Tennis Association’s WTA 1000 tournament will be exempt for 3 years. There is one of each (Miami Open).</w:t>
      </w:r>
    </w:p>
    <w:p w14:paraId="0CBC5CE9" w14:textId="119C16A6" w:rsidR="00791836" w:rsidRPr="00416C97" w:rsidRDefault="00791836" w:rsidP="00F24F14">
      <w:pPr>
        <w:tabs>
          <w:tab w:val="left" w:pos="2207"/>
          <w:tab w:val="left" w:pos="6660"/>
        </w:tabs>
        <w:spacing w:before="157"/>
        <w:rPr>
          <w:rFonts w:ascii="Aptos" w:hAnsi="Aptos"/>
          <w:b/>
          <w:bCs/>
          <w:i/>
        </w:rPr>
      </w:pPr>
      <w:r w:rsidRPr="00416C97">
        <w:rPr>
          <w:rFonts w:ascii="Aptos" w:hAnsi="Aptos"/>
          <w:b/>
          <w:bCs/>
          <w:i/>
        </w:rPr>
        <w:t>Recommended by Senate.</w:t>
      </w:r>
    </w:p>
    <w:p w14:paraId="65EAABA7" w14:textId="2F0EB645" w:rsidR="00F24F14" w:rsidRPr="001B6E32" w:rsidRDefault="00F24F14" w:rsidP="00F24F14">
      <w:pPr>
        <w:tabs>
          <w:tab w:val="left" w:pos="2207"/>
          <w:tab w:val="left" w:pos="6660"/>
        </w:tabs>
        <w:spacing w:before="157"/>
        <w:rPr>
          <w:rFonts w:ascii="Aptos" w:hAnsi="Aptos"/>
          <w:b/>
          <w:bCs/>
          <w:i/>
          <w:spacing w:val="-2"/>
        </w:rPr>
      </w:pPr>
      <w:r w:rsidRPr="001B6E32">
        <w:rPr>
          <w:rFonts w:ascii="Aptos" w:hAnsi="Aptos"/>
          <w:b/>
          <w:bCs/>
          <w:i/>
        </w:rPr>
        <w:t>Taxpayer</w:t>
      </w:r>
      <w:r w:rsidRPr="001B6E32">
        <w:rPr>
          <w:rFonts w:ascii="Aptos" w:hAnsi="Aptos"/>
          <w:b/>
          <w:bCs/>
          <w:i/>
          <w:spacing w:val="-3"/>
        </w:rPr>
        <w:t xml:space="preserve"> </w:t>
      </w:r>
      <w:r w:rsidRPr="001B6E32">
        <w:rPr>
          <w:rFonts w:ascii="Aptos" w:hAnsi="Aptos"/>
          <w:b/>
          <w:bCs/>
          <w:i/>
          <w:spacing w:val="-2"/>
          <w:w w:val="110"/>
        </w:rPr>
        <w:t>Savings (</w:t>
      </w:r>
      <w:r w:rsidR="008E3D1E" w:rsidRPr="001B6E32">
        <w:rPr>
          <w:rFonts w:ascii="Aptos" w:hAnsi="Aptos"/>
          <w:b/>
          <w:bCs/>
          <w:i/>
          <w:spacing w:val="-2"/>
          <w:w w:val="110"/>
        </w:rPr>
        <w:t xml:space="preserve">total </w:t>
      </w:r>
      <w:r w:rsidRPr="001B6E32">
        <w:rPr>
          <w:rFonts w:ascii="Aptos" w:hAnsi="Aptos"/>
          <w:b/>
          <w:bCs/>
          <w:i/>
          <w:spacing w:val="-2"/>
          <w:w w:val="110"/>
        </w:rPr>
        <w:t>3 years)</w:t>
      </w:r>
      <w:r w:rsidR="00144F83">
        <w:rPr>
          <w:rFonts w:ascii="Aptos" w:hAnsi="Aptos"/>
          <w:b/>
          <w:bCs/>
          <w:i/>
          <w:spacing w:val="-2"/>
          <w:w w:val="110"/>
        </w:rPr>
        <w:t>:</w:t>
      </w:r>
      <w:r w:rsidRPr="001B6E32">
        <w:rPr>
          <w:rFonts w:ascii="Aptos" w:hAnsi="Aptos"/>
          <w:b/>
          <w:bCs/>
          <w:i/>
          <w:spacing w:val="-2"/>
          <w:w w:val="110"/>
        </w:rPr>
        <w:t xml:space="preserve">  State</w:t>
      </w:r>
      <w:r w:rsidRPr="001B6E32">
        <w:rPr>
          <w:rFonts w:ascii="Aptos" w:hAnsi="Aptos"/>
          <w:b/>
          <w:bCs/>
          <w:i/>
          <w:spacing w:val="-13"/>
          <w:w w:val="110"/>
        </w:rPr>
        <w:t xml:space="preserve"> </w:t>
      </w:r>
      <w:r w:rsidR="00DA3B33" w:rsidRPr="001B6E32">
        <w:rPr>
          <w:rFonts w:ascii="Aptos" w:hAnsi="Aptos"/>
          <w:b/>
          <w:bCs/>
          <w:i/>
          <w:spacing w:val="-2"/>
          <w:w w:val="110"/>
        </w:rPr>
        <w:t>–</w:t>
      </w:r>
      <w:r w:rsidRPr="001B6E32">
        <w:rPr>
          <w:rFonts w:ascii="Aptos" w:hAnsi="Aptos"/>
          <w:b/>
          <w:bCs/>
          <w:i/>
          <w:spacing w:val="-13"/>
          <w:w w:val="110"/>
        </w:rPr>
        <w:t xml:space="preserve"> </w:t>
      </w:r>
      <w:r w:rsidRPr="001B6E32">
        <w:rPr>
          <w:rFonts w:ascii="Aptos" w:hAnsi="Aptos"/>
          <w:b/>
          <w:bCs/>
          <w:i/>
          <w:spacing w:val="-2"/>
          <w:w w:val="110"/>
        </w:rPr>
        <w:t>$</w:t>
      </w:r>
      <w:r w:rsidR="00DA3B33" w:rsidRPr="001B6E32">
        <w:rPr>
          <w:rFonts w:ascii="Aptos" w:hAnsi="Aptos"/>
          <w:b/>
          <w:bCs/>
          <w:i/>
          <w:spacing w:val="-2"/>
          <w:w w:val="110"/>
        </w:rPr>
        <w:t>25.8</w:t>
      </w:r>
      <w:r w:rsidRPr="001B6E32">
        <w:rPr>
          <w:rFonts w:ascii="Aptos" w:hAnsi="Aptos"/>
          <w:b/>
          <w:bCs/>
          <w:i/>
          <w:spacing w:val="-13"/>
          <w:w w:val="110"/>
        </w:rPr>
        <w:t xml:space="preserve"> </w:t>
      </w:r>
      <w:r w:rsidRPr="001B6E32">
        <w:rPr>
          <w:rFonts w:ascii="Aptos" w:hAnsi="Aptos"/>
          <w:b/>
          <w:bCs/>
          <w:i/>
          <w:spacing w:val="-2"/>
          <w:w w:val="110"/>
        </w:rPr>
        <w:t>million</w:t>
      </w:r>
      <w:r w:rsidRPr="001B6E32">
        <w:rPr>
          <w:rFonts w:ascii="Aptos" w:hAnsi="Aptos"/>
          <w:b/>
          <w:bCs/>
          <w:i/>
          <w:spacing w:val="62"/>
          <w:w w:val="150"/>
        </w:rPr>
        <w:t xml:space="preserve"> </w:t>
      </w:r>
      <w:r w:rsidRPr="001B6E32">
        <w:rPr>
          <w:rFonts w:ascii="Aptos" w:hAnsi="Aptos"/>
          <w:b/>
          <w:bCs/>
          <w:i/>
          <w:spacing w:val="-2"/>
          <w:w w:val="110"/>
        </w:rPr>
        <w:t>Local</w:t>
      </w:r>
      <w:r w:rsidRPr="001B6E32">
        <w:rPr>
          <w:rFonts w:ascii="Aptos" w:hAnsi="Aptos"/>
          <w:b/>
          <w:bCs/>
          <w:i/>
          <w:spacing w:val="-12"/>
          <w:w w:val="110"/>
        </w:rPr>
        <w:t xml:space="preserve"> </w:t>
      </w:r>
      <w:r w:rsidRPr="001B6E32">
        <w:rPr>
          <w:rFonts w:ascii="Aptos" w:hAnsi="Aptos"/>
          <w:b/>
          <w:bCs/>
          <w:i/>
          <w:spacing w:val="-2"/>
          <w:w w:val="110"/>
        </w:rPr>
        <w:t>-</w:t>
      </w:r>
      <w:r w:rsidRPr="001B6E32">
        <w:rPr>
          <w:rFonts w:ascii="Aptos" w:hAnsi="Aptos"/>
          <w:b/>
          <w:bCs/>
          <w:i/>
          <w:spacing w:val="-13"/>
          <w:w w:val="110"/>
        </w:rPr>
        <w:t xml:space="preserve"> </w:t>
      </w:r>
      <w:r w:rsidRPr="001B6E32">
        <w:rPr>
          <w:rFonts w:ascii="Aptos" w:hAnsi="Aptos"/>
          <w:b/>
          <w:bCs/>
          <w:i/>
          <w:spacing w:val="-2"/>
          <w:w w:val="110"/>
        </w:rPr>
        <w:t>$</w:t>
      </w:r>
      <w:r w:rsidR="00F25815" w:rsidRPr="001B6E32">
        <w:rPr>
          <w:rFonts w:ascii="Aptos" w:hAnsi="Aptos"/>
          <w:b/>
          <w:bCs/>
          <w:i/>
          <w:spacing w:val="-2"/>
          <w:w w:val="110"/>
        </w:rPr>
        <w:t>7.3</w:t>
      </w:r>
      <w:r w:rsidRPr="001B6E32">
        <w:rPr>
          <w:rFonts w:ascii="Aptos" w:hAnsi="Aptos"/>
          <w:b/>
          <w:bCs/>
          <w:i/>
          <w:spacing w:val="-13"/>
          <w:w w:val="110"/>
        </w:rPr>
        <w:t xml:space="preserve"> </w:t>
      </w:r>
      <w:r w:rsidRPr="001B6E32">
        <w:rPr>
          <w:rFonts w:ascii="Aptos" w:hAnsi="Aptos"/>
          <w:b/>
          <w:bCs/>
          <w:i/>
          <w:spacing w:val="-2"/>
          <w:w w:val="110"/>
        </w:rPr>
        <w:t>million</w:t>
      </w:r>
      <w:r w:rsidRPr="001B6E32">
        <w:rPr>
          <w:rFonts w:ascii="Aptos" w:hAnsi="Aptos"/>
          <w:b/>
          <w:bCs/>
          <w:i/>
        </w:rPr>
        <w:t xml:space="preserve"> </w:t>
      </w:r>
    </w:p>
    <w:p w14:paraId="5EE938C0" w14:textId="77777777" w:rsidR="00416C97" w:rsidRDefault="00416C97" w:rsidP="007E1780">
      <w:pPr>
        <w:rPr>
          <w:b/>
          <w:bCs/>
        </w:rPr>
      </w:pPr>
    </w:p>
    <w:p w14:paraId="4D72E80A" w14:textId="1B672453" w:rsidR="007E1780" w:rsidRPr="002B014E" w:rsidRDefault="007E1780" w:rsidP="007E1780">
      <w:r w:rsidRPr="002B014E">
        <w:rPr>
          <w:b/>
          <w:bCs/>
        </w:rPr>
        <w:t xml:space="preserve">Credit for Donation of Sales Tax on a Motor Vehicle Purchase (one year) </w:t>
      </w:r>
      <w:r w:rsidRPr="002B014E">
        <w:t xml:space="preserve">– Currently, anyone who purchases or registers an automobile or light truck in Florida may designate $105 of the state sales tax due at the time of purchase or registration to an eligible </w:t>
      </w:r>
      <w:r w:rsidRPr="002B014E">
        <w:lastRenderedPageBreak/>
        <w:t xml:space="preserve">nonprofit scholarship-funding organization (SFO) participating in the Florida Tax Credit Scholarship Program (FTC). This new law will add heavy trucks (up to 8,000 lbs.) to the eligible vehicles. Not really </w:t>
      </w:r>
      <w:proofErr w:type="gramStart"/>
      <w:r w:rsidRPr="002B014E">
        <w:t>a tax</w:t>
      </w:r>
      <w:proofErr w:type="gramEnd"/>
      <w:r w:rsidRPr="002B014E">
        <w:t xml:space="preserve"> savings, but taxpayers get to decide if part of the tax they pay goes to this program.</w:t>
      </w:r>
    </w:p>
    <w:p w14:paraId="4C3C9F13" w14:textId="77777777" w:rsidR="007E1780" w:rsidRPr="00416C97" w:rsidRDefault="007E1780" w:rsidP="007E1780">
      <w:pPr>
        <w:rPr>
          <w:b/>
          <w:bCs/>
          <w:i/>
          <w:iCs/>
        </w:rPr>
      </w:pPr>
      <w:r w:rsidRPr="00416C97">
        <w:rPr>
          <w:b/>
          <w:bCs/>
          <w:i/>
          <w:iCs/>
        </w:rPr>
        <w:t>Recommended by House</w:t>
      </w:r>
    </w:p>
    <w:p w14:paraId="4CAF74C4" w14:textId="4F360C19" w:rsidR="007E1780" w:rsidRPr="00416C97" w:rsidRDefault="007E1780" w:rsidP="007E1780">
      <w:pPr>
        <w:rPr>
          <w:b/>
          <w:bCs/>
          <w:i/>
          <w:iCs/>
        </w:rPr>
      </w:pPr>
      <w:r w:rsidRPr="00416C97">
        <w:rPr>
          <w:b/>
          <w:bCs/>
          <w:i/>
          <w:iCs/>
        </w:rPr>
        <w:t>Fiscal Impact</w:t>
      </w:r>
      <w:r w:rsidR="00BC2D0A">
        <w:rPr>
          <w:b/>
          <w:bCs/>
          <w:i/>
          <w:iCs/>
        </w:rPr>
        <w:t xml:space="preserve">:  </w:t>
      </w:r>
      <w:r w:rsidRPr="00416C97">
        <w:rPr>
          <w:b/>
          <w:bCs/>
          <w:i/>
          <w:iCs/>
        </w:rPr>
        <w:t xml:space="preserve"> State - $5.3 million first year, $5.8 million recurring</w:t>
      </w:r>
    </w:p>
    <w:p w14:paraId="25424BA5" w14:textId="77777777" w:rsidR="00416C97" w:rsidRDefault="00416C97" w:rsidP="0024288B">
      <w:pPr>
        <w:tabs>
          <w:tab w:val="left" w:pos="2207"/>
        </w:tabs>
        <w:spacing w:before="158"/>
        <w:rPr>
          <w:b/>
          <w:bCs/>
        </w:rPr>
      </w:pPr>
    </w:p>
    <w:p w14:paraId="4CD06EBC" w14:textId="51169E98" w:rsidR="00B72BBB" w:rsidRDefault="009F7F24" w:rsidP="0024288B">
      <w:pPr>
        <w:tabs>
          <w:tab w:val="left" w:pos="2207"/>
        </w:tabs>
        <w:spacing w:before="158"/>
        <w:rPr>
          <w:rFonts w:ascii="Aptos" w:hAnsi="Aptos"/>
          <w:iCs/>
          <w:spacing w:val="-2"/>
        </w:rPr>
      </w:pPr>
      <w:r w:rsidRPr="00B72BBB">
        <w:rPr>
          <w:b/>
          <w:bCs/>
        </w:rPr>
        <w:t>State University and College Public Works Contracts</w:t>
      </w:r>
      <w:r w:rsidR="00B72BBB" w:rsidRPr="00B72BBB">
        <w:rPr>
          <w:rFonts w:ascii="Aptos" w:hAnsi="Aptos"/>
          <w:b/>
          <w:bCs/>
          <w:iCs/>
          <w:spacing w:val="-2"/>
        </w:rPr>
        <w:t xml:space="preserve"> </w:t>
      </w:r>
      <w:r w:rsidR="00B72BBB" w:rsidRPr="00BF1D1A">
        <w:rPr>
          <w:rFonts w:ascii="Aptos" w:hAnsi="Aptos"/>
          <w:iCs/>
          <w:spacing w:val="-2"/>
        </w:rPr>
        <w:t>- A sales tax refund mechanism would be created for state universities</w:t>
      </w:r>
      <w:r w:rsidR="00CB57F7">
        <w:rPr>
          <w:rFonts w:ascii="Aptos" w:hAnsi="Aptos"/>
          <w:iCs/>
          <w:spacing w:val="-2"/>
        </w:rPr>
        <w:t xml:space="preserve"> and colleges</w:t>
      </w:r>
      <w:r w:rsidR="00B72BBB" w:rsidRPr="00BF1D1A">
        <w:rPr>
          <w:rFonts w:ascii="Aptos" w:hAnsi="Aptos"/>
          <w:iCs/>
          <w:spacing w:val="-2"/>
        </w:rPr>
        <w:t xml:space="preserve"> for tangible personal property purchases made by state university contractors when such property goes into or becomes part of public works owned by the state university.</w:t>
      </w:r>
      <w:r w:rsidR="000B3AD0">
        <w:rPr>
          <w:rFonts w:ascii="Aptos" w:hAnsi="Aptos"/>
          <w:iCs/>
          <w:spacing w:val="-2"/>
        </w:rPr>
        <w:t xml:space="preserve"> Such sales are already exempt</w:t>
      </w:r>
      <w:r w:rsidR="00AC67EE">
        <w:rPr>
          <w:rFonts w:ascii="Aptos" w:hAnsi="Aptos"/>
          <w:iCs/>
          <w:spacing w:val="-2"/>
        </w:rPr>
        <w:t xml:space="preserve"> </w:t>
      </w:r>
      <w:r w:rsidR="00EE7856">
        <w:rPr>
          <w:rFonts w:ascii="Aptos" w:hAnsi="Aptos"/>
          <w:iCs/>
          <w:spacing w:val="-2"/>
        </w:rPr>
        <w:t>if</w:t>
      </w:r>
      <w:r w:rsidR="0024288B" w:rsidRPr="0024288B">
        <w:rPr>
          <w:rFonts w:ascii="Aptos" w:hAnsi="Aptos"/>
          <w:iCs/>
          <w:spacing w:val="-2"/>
        </w:rPr>
        <w:t xml:space="preserve"> the</w:t>
      </w:r>
      <w:r w:rsidR="004F5529">
        <w:rPr>
          <w:rFonts w:ascii="Aptos" w:hAnsi="Aptos"/>
          <w:iCs/>
          <w:spacing w:val="-2"/>
        </w:rPr>
        <w:t xml:space="preserve"> materials </w:t>
      </w:r>
      <w:r w:rsidR="0024288B" w:rsidRPr="0024288B">
        <w:rPr>
          <w:rFonts w:ascii="Aptos" w:hAnsi="Aptos"/>
          <w:iCs/>
          <w:spacing w:val="-2"/>
        </w:rPr>
        <w:t xml:space="preserve">are bought and held by the governmental entity commissioning the work before being handed off to the contractor. </w:t>
      </w:r>
      <w:r w:rsidR="00A569F0">
        <w:rPr>
          <w:rFonts w:ascii="Aptos" w:hAnsi="Aptos"/>
          <w:iCs/>
          <w:spacing w:val="-2"/>
        </w:rPr>
        <w:t xml:space="preserve">This complex process can result in the contractors having to pay </w:t>
      </w:r>
      <w:r w:rsidR="002A279D">
        <w:rPr>
          <w:rFonts w:ascii="Aptos" w:hAnsi="Aptos"/>
          <w:iCs/>
          <w:spacing w:val="-2"/>
        </w:rPr>
        <w:t xml:space="preserve">tax on needed materials (not having to go through university bureaucracy). That </w:t>
      </w:r>
      <w:r w:rsidR="00370A4D">
        <w:rPr>
          <w:rFonts w:ascii="Aptos" w:hAnsi="Aptos"/>
          <w:iCs/>
          <w:spacing w:val="-2"/>
        </w:rPr>
        <w:t>cost can be passed on to the institution.</w:t>
      </w:r>
      <w:r w:rsidR="00C32DA7">
        <w:rPr>
          <w:rFonts w:ascii="Aptos" w:hAnsi="Aptos"/>
          <w:iCs/>
          <w:spacing w:val="-2"/>
        </w:rPr>
        <w:t xml:space="preserve"> </w:t>
      </w:r>
      <w:r w:rsidR="009548BE">
        <w:rPr>
          <w:rFonts w:ascii="Aptos" w:hAnsi="Aptos"/>
          <w:iCs/>
          <w:spacing w:val="-2"/>
        </w:rPr>
        <w:t xml:space="preserve">The Florida TaxWatch Tax Advisory </w:t>
      </w:r>
      <w:r w:rsidR="00263DC7">
        <w:rPr>
          <w:rFonts w:ascii="Aptos" w:hAnsi="Aptos"/>
          <w:iCs/>
          <w:spacing w:val="-2"/>
        </w:rPr>
        <w:t xml:space="preserve">Council </w:t>
      </w:r>
      <w:r w:rsidR="00F32B76">
        <w:rPr>
          <w:rFonts w:ascii="Aptos" w:hAnsi="Aptos"/>
          <w:iCs/>
          <w:spacing w:val="-2"/>
        </w:rPr>
        <w:t xml:space="preserve">has been examining this issue and will likely recommend this be expanded to all </w:t>
      </w:r>
      <w:r w:rsidR="00263DC7">
        <w:rPr>
          <w:rFonts w:ascii="Aptos" w:hAnsi="Aptos"/>
          <w:iCs/>
          <w:spacing w:val="-2"/>
        </w:rPr>
        <w:t>public works.</w:t>
      </w:r>
    </w:p>
    <w:p w14:paraId="28C4E25E" w14:textId="77777777" w:rsidR="00791836" w:rsidRPr="00742B3B" w:rsidRDefault="00791836" w:rsidP="00791836">
      <w:pPr>
        <w:tabs>
          <w:tab w:val="left" w:pos="2207"/>
          <w:tab w:val="left" w:pos="6660"/>
        </w:tabs>
        <w:spacing w:before="157"/>
        <w:rPr>
          <w:rFonts w:ascii="Aptos" w:hAnsi="Aptos"/>
          <w:b/>
          <w:bCs/>
          <w:i/>
        </w:rPr>
      </w:pPr>
      <w:r w:rsidRPr="00742B3B">
        <w:rPr>
          <w:rFonts w:ascii="Aptos" w:hAnsi="Aptos"/>
          <w:b/>
          <w:bCs/>
          <w:i/>
        </w:rPr>
        <w:t>Recommended by Senate.</w:t>
      </w:r>
    </w:p>
    <w:p w14:paraId="7334FB29" w14:textId="1F4147BD" w:rsidR="00B72BBB" w:rsidRPr="00742B3B" w:rsidRDefault="00B72BBB" w:rsidP="00B72BBB">
      <w:pPr>
        <w:tabs>
          <w:tab w:val="left" w:pos="2207"/>
        </w:tabs>
        <w:spacing w:before="158"/>
        <w:rPr>
          <w:rFonts w:ascii="Aptos" w:hAnsi="Aptos"/>
          <w:b/>
          <w:bCs/>
          <w:i/>
        </w:rPr>
      </w:pPr>
      <w:r w:rsidRPr="00742B3B">
        <w:rPr>
          <w:rFonts w:ascii="Aptos" w:hAnsi="Aptos"/>
          <w:b/>
          <w:bCs/>
          <w:i/>
        </w:rPr>
        <w:t>Taxpayer Savings</w:t>
      </w:r>
      <w:r w:rsidR="00742B3B">
        <w:rPr>
          <w:rFonts w:ascii="Aptos" w:hAnsi="Aptos"/>
          <w:b/>
          <w:bCs/>
          <w:i/>
        </w:rPr>
        <w:t>:</w:t>
      </w:r>
      <w:r w:rsidRPr="00742B3B">
        <w:rPr>
          <w:rFonts w:ascii="Aptos" w:hAnsi="Aptos"/>
          <w:b/>
          <w:bCs/>
          <w:i/>
        </w:rPr>
        <w:tab/>
        <w:t>Indeterminate</w:t>
      </w:r>
      <w:r w:rsidR="00DD55CC">
        <w:rPr>
          <w:rFonts w:ascii="Aptos" w:hAnsi="Aptos"/>
          <w:b/>
          <w:bCs/>
          <w:i/>
        </w:rPr>
        <w:t xml:space="preserve"> recurring</w:t>
      </w:r>
    </w:p>
    <w:p w14:paraId="7DF0BD5F" w14:textId="52943E11" w:rsidR="002A167B" w:rsidRPr="00F62523" w:rsidRDefault="002A167B" w:rsidP="00526E67">
      <w:pPr>
        <w:rPr>
          <w:highlight w:val="green"/>
        </w:rPr>
      </w:pPr>
    </w:p>
    <w:p w14:paraId="56B823B8" w14:textId="77777777" w:rsidR="0047133E" w:rsidRPr="00B447F4" w:rsidRDefault="0047133E" w:rsidP="0047133E">
      <w:r w:rsidRPr="00B447F4">
        <w:rPr>
          <w:b/>
          <w:bCs/>
        </w:rPr>
        <w:t>Liquified petroleum gas tanks</w:t>
      </w:r>
      <w:r w:rsidRPr="00B447F4">
        <w:t xml:space="preserve"> – The bill creates a permanent sales tax exemption for tanks with a capacity of 20 pounds or less.</w:t>
      </w:r>
    </w:p>
    <w:p w14:paraId="713F355D" w14:textId="77777777" w:rsidR="0047133E" w:rsidRPr="00B447F4" w:rsidRDefault="0047133E" w:rsidP="0047133E">
      <w:pPr>
        <w:rPr>
          <w:b/>
          <w:bCs/>
          <w:i/>
          <w:iCs/>
        </w:rPr>
      </w:pPr>
      <w:r w:rsidRPr="00B447F4">
        <w:rPr>
          <w:b/>
          <w:bCs/>
        </w:rPr>
        <w:t>Recommended by House and Senate</w:t>
      </w:r>
    </w:p>
    <w:p w14:paraId="20EF23BA" w14:textId="77777777" w:rsidR="0047133E" w:rsidRPr="00B447F4" w:rsidRDefault="0047133E" w:rsidP="0047133E">
      <w:pPr>
        <w:rPr>
          <w:b/>
          <w:bCs/>
          <w:i/>
          <w:iCs/>
        </w:rPr>
      </w:pPr>
      <w:r w:rsidRPr="00B447F4">
        <w:rPr>
          <w:b/>
          <w:bCs/>
          <w:i/>
          <w:iCs/>
        </w:rPr>
        <w:t xml:space="preserve">Taxpayer Savings: </w:t>
      </w:r>
      <w:r w:rsidRPr="00B447F4">
        <w:rPr>
          <w:b/>
          <w:bCs/>
          <w:i/>
          <w:iCs/>
        </w:rPr>
        <w:tab/>
        <w:t xml:space="preserve"> Indeterminate recurring</w:t>
      </w:r>
    </w:p>
    <w:p w14:paraId="1E431350" w14:textId="16837BD5" w:rsidR="00E219D4" w:rsidRPr="00F62523" w:rsidRDefault="00F31F7D" w:rsidP="007E1780">
      <w:pPr>
        <w:rPr>
          <w:b/>
          <w:bCs/>
          <w:i/>
          <w:iCs/>
          <w:highlight w:val="green"/>
        </w:rPr>
      </w:pPr>
      <w:r w:rsidRPr="00F62523">
        <w:rPr>
          <w:b/>
          <w:bCs/>
          <w:i/>
          <w:iCs/>
          <w:highlight w:val="green"/>
        </w:rPr>
        <w:br/>
      </w:r>
    </w:p>
    <w:p w14:paraId="0F029C37" w14:textId="77777777" w:rsidR="003016BC" w:rsidRDefault="003016BC" w:rsidP="004C7850">
      <w:pPr>
        <w:rPr>
          <w:b/>
          <w:bCs/>
          <w:sz w:val="36"/>
          <w:szCs w:val="36"/>
        </w:rPr>
      </w:pPr>
    </w:p>
    <w:p w14:paraId="55C455BF" w14:textId="77777777" w:rsidR="003016BC" w:rsidRDefault="003016BC" w:rsidP="004C7850">
      <w:pPr>
        <w:rPr>
          <w:b/>
          <w:bCs/>
          <w:sz w:val="36"/>
          <w:szCs w:val="36"/>
        </w:rPr>
      </w:pPr>
    </w:p>
    <w:p w14:paraId="34D2398D" w14:textId="77777777" w:rsidR="003016BC" w:rsidRDefault="003016BC" w:rsidP="004C7850">
      <w:pPr>
        <w:rPr>
          <w:b/>
          <w:bCs/>
          <w:sz w:val="36"/>
          <w:szCs w:val="36"/>
        </w:rPr>
      </w:pPr>
    </w:p>
    <w:p w14:paraId="2B7FB0C3" w14:textId="77777777" w:rsidR="003016BC" w:rsidRDefault="003016BC" w:rsidP="004C7850">
      <w:pPr>
        <w:rPr>
          <w:b/>
          <w:bCs/>
          <w:sz w:val="36"/>
          <w:szCs w:val="36"/>
        </w:rPr>
      </w:pPr>
    </w:p>
    <w:p w14:paraId="27632254" w14:textId="77777777" w:rsidR="003016BC" w:rsidRDefault="003016BC" w:rsidP="004C7850">
      <w:pPr>
        <w:rPr>
          <w:b/>
          <w:bCs/>
          <w:sz w:val="36"/>
          <w:szCs w:val="36"/>
        </w:rPr>
      </w:pPr>
    </w:p>
    <w:p w14:paraId="266B860A" w14:textId="3F4078B2" w:rsidR="004C7850" w:rsidRPr="00742B3B" w:rsidRDefault="004C7850" w:rsidP="004C7850">
      <w:pPr>
        <w:rPr>
          <w:b/>
          <w:bCs/>
          <w:sz w:val="36"/>
          <w:szCs w:val="36"/>
        </w:rPr>
      </w:pPr>
      <w:r w:rsidRPr="00742B3B">
        <w:rPr>
          <w:b/>
          <w:bCs/>
          <w:sz w:val="36"/>
          <w:szCs w:val="36"/>
        </w:rPr>
        <w:lastRenderedPageBreak/>
        <w:t>Property Tax</w:t>
      </w:r>
    </w:p>
    <w:p w14:paraId="21662EAB" w14:textId="77777777" w:rsidR="00011286" w:rsidRPr="00BE10DA" w:rsidRDefault="00011286" w:rsidP="00011286">
      <w:r w:rsidRPr="00BE10DA">
        <w:rPr>
          <w:b/>
          <w:bCs/>
        </w:rPr>
        <w:t>Mobile Home Park Assessment Limitation</w:t>
      </w:r>
      <w:r w:rsidRPr="00BE10DA">
        <w:t xml:space="preserve"> – This is the largest recurring tax cut in the tax package. Beginning January 1, 2027, the assessed value of long-term mobile home parks may not increase by more than three percent a year, just like the Save Our Homes limitation for homestead property. To qualify, the lot must rent more than 75 percent of the mobile home lots to residents with a lease of at least one year, and the taxes are required to be paid by the residents. In any year that the park does not qualify for this new three percent assessment cap, it is subject to the ten percent assessment increase limitation for non-homestead property. </w:t>
      </w:r>
    </w:p>
    <w:p w14:paraId="68190A45" w14:textId="77777777" w:rsidR="00011286" w:rsidRPr="00BE10DA" w:rsidRDefault="00011286" w:rsidP="00011286">
      <w:pPr>
        <w:rPr>
          <w:b/>
          <w:bCs/>
        </w:rPr>
      </w:pPr>
      <w:r w:rsidRPr="00BE10DA">
        <w:rPr>
          <w:b/>
          <w:bCs/>
        </w:rPr>
        <w:t>Recommended by House</w:t>
      </w:r>
    </w:p>
    <w:p w14:paraId="23ABE318" w14:textId="75408342" w:rsidR="00011286" w:rsidRDefault="00011286" w:rsidP="00011286">
      <w:pPr>
        <w:rPr>
          <w:b/>
          <w:bCs/>
          <w:i/>
          <w:iCs/>
        </w:rPr>
      </w:pPr>
      <w:r w:rsidRPr="00BE10DA">
        <w:rPr>
          <w:b/>
          <w:bCs/>
          <w:i/>
          <w:iCs/>
        </w:rPr>
        <w:t>Taxpayer Savings</w:t>
      </w:r>
      <w:proofErr w:type="gramStart"/>
      <w:r w:rsidRPr="00BE10DA">
        <w:rPr>
          <w:i/>
          <w:iCs/>
        </w:rPr>
        <w:t>:</w:t>
      </w:r>
      <w:r w:rsidRPr="00BE10DA">
        <w:rPr>
          <w:i/>
          <w:iCs/>
        </w:rPr>
        <w:tab/>
        <w:t xml:space="preserve"> </w:t>
      </w:r>
      <w:r w:rsidRPr="00BE10DA">
        <w:rPr>
          <w:b/>
          <w:bCs/>
          <w:i/>
          <w:iCs/>
        </w:rPr>
        <w:t>Local</w:t>
      </w:r>
      <w:proofErr w:type="gramEnd"/>
      <w:r w:rsidRPr="00BE10DA">
        <w:rPr>
          <w:b/>
          <w:bCs/>
          <w:i/>
          <w:iCs/>
        </w:rPr>
        <w:t xml:space="preserve"> - $6.6 million first year   $65.2 million recurring</w:t>
      </w:r>
    </w:p>
    <w:p w14:paraId="4604D6AD" w14:textId="1A489206" w:rsidR="00FB2B22" w:rsidRDefault="009D0049" w:rsidP="00FB2B22">
      <w:r>
        <w:rPr>
          <w:b/>
          <w:bCs/>
        </w:rPr>
        <w:br/>
      </w:r>
      <w:r w:rsidR="00FB2B22" w:rsidRPr="00B967FD">
        <w:rPr>
          <w:b/>
          <w:bCs/>
        </w:rPr>
        <w:t xml:space="preserve">Deployed Servicemember Exemption- Operation Update </w:t>
      </w:r>
      <w:r w:rsidR="00FB2B22">
        <w:rPr>
          <w:b/>
          <w:bCs/>
        </w:rPr>
        <w:t xml:space="preserve">– </w:t>
      </w:r>
      <w:r w:rsidR="00FB2B22" w:rsidRPr="00DC0763">
        <w:t>The bill adds six military operations to the list of operations that qualifies service members with a homestead exemption for a property tax exemption for the time they were deployed.</w:t>
      </w:r>
    </w:p>
    <w:p w14:paraId="42AC7F24" w14:textId="77777777" w:rsidR="00FB2B22" w:rsidRPr="00421B63" w:rsidRDefault="00FB2B22" w:rsidP="00FB2B22">
      <w:pPr>
        <w:rPr>
          <w:b/>
          <w:bCs/>
        </w:rPr>
      </w:pPr>
      <w:r w:rsidRPr="00421B63">
        <w:rPr>
          <w:b/>
          <w:bCs/>
        </w:rPr>
        <w:t>Recommended by Senate.</w:t>
      </w:r>
    </w:p>
    <w:p w14:paraId="00046C36" w14:textId="11195C27" w:rsidR="00FB2B22" w:rsidRDefault="00FB2B22" w:rsidP="00FB2B22">
      <w:pPr>
        <w:rPr>
          <w:b/>
          <w:bCs/>
          <w:i/>
          <w:iCs/>
        </w:rPr>
      </w:pPr>
      <w:r w:rsidRPr="004E0523">
        <w:rPr>
          <w:b/>
          <w:bCs/>
          <w:i/>
          <w:iCs/>
        </w:rPr>
        <w:t>Taxpayer Savings</w:t>
      </w:r>
      <w:r w:rsidRPr="004E0523">
        <w:rPr>
          <w:i/>
          <w:iCs/>
        </w:rPr>
        <w:t xml:space="preserve">: </w:t>
      </w:r>
      <w:r w:rsidRPr="004E0523">
        <w:rPr>
          <w:b/>
          <w:bCs/>
          <w:i/>
          <w:iCs/>
        </w:rPr>
        <w:t>Local - $</w:t>
      </w:r>
      <w:r w:rsidR="0003269D">
        <w:rPr>
          <w:b/>
          <w:bCs/>
          <w:i/>
          <w:iCs/>
        </w:rPr>
        <w:t>25.1</w:t>
      </w:r>
      <w:r w:rsidRPr="004E0523">
        <w:rPr>
          <w:b/>
          <w:bCs/>
          <w:i/>
          <w:iCs/>
        </w:rPr>
        <w:t xml:space="preserve"> million</w:t>
      </w:r>
      <w:r>
        <w:rPr>
          <w:b/>
          <w:bCs/>
          <w:i/>
          <w:iCs/>
        </w:rPr>
        <w:t xml:space="preserve"> first year, $</w:t>
      </w:r>
      <w:r w:rsidR="00E7350D">
        <w:rPr>
          <w:b/>
          <w:bCs/>
          <w:i/>
          <w:iCs/>
        </w:rPr>
        <w:t>8.4</w:t>
      </w:r>
      <w:r>
        <w:rPr>
          <w:b/>
          <w:bCs/>
          <w:i/>
          <w:iCs/>
        </w:rPr>
        <w:t xml:space="preserve"> million </w:t>
      </w:r>
      <w:r w:rsidRPr="004E0523">
        <w:rPr>
          <w:b/>
          <w:bCs/>
          <w:i/>
          <w:iCs/>
        </w:rPr>
        <w:t>recurring</w:t>
      </w:r>
      <w:r w:rsidRPr="00F62523">
        <w:rPr>
          <w:b/>
          <w:bCs/>
          <w:i/>
          <w:iCs/>
          <w:highlight w:val="green"/>
        </w:rPr>
        <w:br/>
      </w:r>
    </w:p>
    <w:p w14:paraId="1433C406" w14:textId="77777777" w:rsidR="00011286" w:rsidRDefault="00011286" w:rsidP="00011286">
      <w:r w:rsidRPr="009040C4">
        <w:rPr>
          <w:b/>
          <w:bCs/>
        </w:rPr>
        <w:t xml:space="preserve">Agricultural Classification for Compost </w:t>
      </w:r>
      <w:r>
        <w:t xml:space="preserve">– Compost is added to the definition of agricultural purpose, allowing property that is used for composting to be assessed at the lower agriculture value. </w:t>
      </w:r>
    </w:p>
    <w:p w14:paraId="20F3C56A" w14:textId="77777777" w:rsidR="00011286" w:rsidRPr="009040C4" w:rsidRDefault="00011286" w:rsidP="00011286">
      <w:pPr>
        <w:rPr>
          <w:b/>
          <w:bCs/>
          <w:i/>
          <w:iCs/>
        </w:rPr>
      </w:pPr>
      <w:r w:rsidRPr="009040C4">
        <w:rPr>
          <w:b/>
          <w:bCs/>
          <w:i/>
          <w:iCs/>
        </w:rPr>
        <w:t>Added by Conference.</w:t>
      </w:r>
    </w:p>
    <w:p w14:paraId="42E945EE" w14:textId="213FB63F" w:rsidR="00011286" w:rsidRDefault="00011286" w:rsidP="00011286">
      <w:pPr>
        <w:rPr>
          <w:b/>
          <w:bCs/>
          <w:i/>
          <w:iCs/>
        </w:rPr>
      </w:pPr>
      <w:r w:rsidRPr="009040C4">
        <w:rPr>
          <w:b/>
          <w:bCs/>
          <w:i/>
          <w:iCs/>
        </w:rPr>
        <w:t>Taxpayer Savings</w:t>
      </w:r>
      <w:proofErr w:type="gramStart"/>
      <w:r w:rsidRPr="009040C4">
        <w:rPr>
          <w:b/>
          <w:bCs/>
          <w:i/>
          <w:iCs/>
        </w:rPr>
        <w:t xml:space="preserve">: </w:t>
      </w:r>
      <w:r w:rsidR="00A14D21">
        <w:rPr>
          <w:b/>
          <w:bCs/>
          <w:i/>
          <w:iCs/>
        </w:rPr>
        <w:t xml:space="preserve"> Local</w:t>
      </w:r>
      <w:proofErr w:type="gramEnd"/>
      <w:r w:rsidR="00A14D21">
        <w:rPr>
          <w:b/>
          <w:bCs/>
          <w:i/>
          <w:iCs/>
        </w:rPr>
        <w:t xml:space="preserve"> -</w:t>
      </w:r>
      <w:r w:rsidRPr="009040C4">
        <w:rPr>
          <w:b/>
          <w:bCs/>
          <w:i/>
          <w:iCs/>
        </w:rPr>
        <w:t xml:space="preserve"> $</w:t>
      </w:r>
      <w:r w:rsidR="00B90A28">
        <w:rPr>
          <w:b/>
          <w:bCs/>
          <w:i/>
          <w:iCs/>
        </w:rPr>
        <w:t>1.4</w:t>
      </w:r>
      <w:r w:rsidRPr="009040C4">
        <w:rPr>
          <w:b/>
          <w:bCs/>
          <w:i/>
          <w:iCs/>
        </w:rPr>
        <w:t xml:space="preserve"> million recurring</w:t>
      </w:r>
    </w:p>
    <w:p w14:paraId="0A2C8DD0" w14:textId="2D15F796" w:rsidR="00011286" w:rsidRDefault="00B90A28" w:rsidP="00011286">
      <w:pPr>
        <w:rPr>
          <w:shd w:val="clear" w:color="auto" w:fill="FFFFFF" w:themeFill="background1"/>
        </w:rPr>
      </w:pPr>
      <w:r>
        <w:rPr>
          <w:b/>
          <w:bCs/>
          <w:shd w:val="clear" w:color="auto" w:fill="FFFFFF" w:themeFill="background1"/>
        </w:rPr>
        <w:br/>
      </w:r>
      <w:r w:rsidR="00011286" w:rsidRPr="00FD6434">
        <w:rPr>
          <w:b/>
          <w:bCs/>
          <w:shd w:val="clear" w:color="auto" w:fill="FFFFFF" w:themeFill="background1"/>
        </w:rPr>
        <w:t xml:space="preserve">Agricultural Assessment of Packinghouses – </w:t>
      </w:r>
      <w:r w:rsidR="00011286" w:rsidRPr="00FD6434">
        <w:rPr>
          <w:shd w:val="clear" w:color="auto" w:fill="FFFFFF" w:themeFill="background1"/>
        </w:rPr>
        <w:t>Another provision providing more favorable property tax assessments for agricultural property.</w:t>
      </w:r>
      <w:r w:rsidR="00011286" w:rsidRPr="003C0AB9">
        <w:t xml:space="preserve"> </w:t>
      </w:r>
      <w:r w:rsidR="00011286">
        <w:rPr>
          <w:shd w:val="clear" w:color="auto" w:fill="FFFFFF" w:themeFill="background1"/>
        </w:rPr>
        <w:t>Using</w:t>
      </w:r>
      <w:r w:rsidR="00011286" w:rsidRPr="003C0AB9">
        <w:rPr>
          <w:shd w:val="clear" w:color="auto" w:fill="FFFFFF" w:themeFill="background1"/>
        </w:rPr>
        <w:t xml:space="preserve"> the income methodology </w:t>
      </w:r>
      <w:r w:rsidR="00011286">
        <w:rPr>
          <w:shd w:val="clear" w:color="auto" w:fill="FFFFFF" w:themeFill="background1"/>
        </w:rPr>
        <w:t>to</w:t>
      </w:r>
      <w:r w:rsidR="00011286" w:rsidRPr="003C0AB9">
        <w:rPr>
          <w:shd w:val="clear" w:color="auto" w:fill="FFFFFF" w:themeFill="background1"/>
        </w:rPr>
        <w:t xml:space="preserve"> assess</w:t>
      </w:r>
      <w:r w:rsidR="00011286">
        <w:rPr>
          <w:shd w:val="clear" w:color="auto" w:fill="FFFFFF" w:themeFill="background1"/>
        </w:rPr>
        <w:t xml:space="preserve"> ag</w:t>
      </w:r>
      <w:r w:rsidR="00011286" w:rsidRPr="003C0AB9">
        <w:rPr>
          <w:shd w:val="clear" w:color="auto" w:fill="FFFFFF" w:themeFill="background1"/>
        </w:rPr>
        <w:t xml:space="preserve"> property</w:t>
      </w:r>
      <w:r w:rsidR="00011286">
        <w:rPr>
          <w:shd w:val="clear" w:color="auto" w:fill="FFFFFF" w:themeFill="background1"/>
        </w:rPr>
        <w:t xml:space="preserve">, </w:t>
      </w:r>
      <w:r w:rsidR="00011286" w:rsidRPr="003C0AB9">
        <w:rPr>
          <w:shd w:val="clear" w:color="auto" w:fill="FFFFFF" w:themeFill="background1"/>
        </w:rPr>
        <w:t xml:space="preserve">packinghouses and the land on which they are located, if </w:t>
      </w:r>
      <w:r w:rsidR="00011286">
        <w:rPr>
          <w:shd w:val="clear" w:color="auto" w:fill="FFFFFF" w:themeFill="background1"/>
        </w:rPr>
        <w:t>having the same ownership, s</w:t>
      </w:r>
      <w:r w:rsidR="00011286" w:rsidRPr="003C0AB9">
        <w:rPr>
          <w:shd w:val="clear" w:color="auto" w:fill="FFFFFF" w:themeFill="background1"/>
        </w:rPr>
        <w:t>hall be considered a part of the average</w:t>
      </w:r>
      <w:r w:rsidR="00011286" w:rsidRPr="00B04701">
        <w:t xml:space="preserve"> </w:t>
      </w:r>
      <w:r w:rsidR="00011286" w:rsidRPr="00B04701">
        <w:rPr>
          <w:shd w:val="clear" w:color="auto" w:fill="FFFFFF" w:themeFill="background1"/>
        </w:rPr>
        <w:t>yields per acre and shall</w:t>
      </w:r>
      <w:r w:rsidR="00011286">
        <w:rPr>
          <w:shd w:val="clear" w:color="auto" w:fill="FFFFFF" w:themeFill="background1"/>
        </w:rPr>
        <w:t xml:space="preserve"> not</w:t>
      </w:r>
      <w:r w:rsidR="00011286" w:rsidRPr="00B04701">
        <w:rPr>
          <w:shd w:val="clear" w:color="auto" w:fill="FFFFFF" w:themeFill="background1"/>
        </w:rPr>
        <w:t xml:space="preserve"> have </w:t>
      </w:r>
      <w:r w:rsidR="00011286">
        <w:rPr>
          <w:shd w:val="clear" w:color="auto" w:fill="FFFFFF" w:themeFill="background1"/>
        </w:rPr>
        <w:t xml:space="preserve">any </w:t>
      </w:r>
      <w:r w:rsidR="00011286" w:rsidRPr="00B04701">
        <w:rPr>
          <w:shd w:val="clear" w:color="auto" w:fill="FFFFFF" w:themeFill="background1"/>
        </w:rPr>
        <w:t>separately assessable</w:t>
      </w:r>
      <w:r w:rsidR="00011286">
        <w:rPr>
          <w:shd w:val="clear" w:color="auto" w:fill="FFFFFF" w:themeFill="background1"/>
        </w:rPr>
        <w:t xml:space="preserve"> </w:t>
      </w:r>
      <w:r w:rsidR="00011286" w:rsidRPr="00B04701">
        <w:rPr>
          <w:shd w:val="clear" w:color="auto" w:fill="FFFFFF" w:themeFill="background1"/>
        </w:rPr>
        <w:t>contributory value.</w:t>
      </w:r>
    </w:p>
    <w:p w14:paraId="6A490993" w14:textId="77777777" w:rsidR="00011286" w:rsidRDefault="00011286" w:rsidP="00011286">
      <w:pPr>
        <w:rPr>
          <w:b/>
          <w:bCs/>
          <w:i/>
          <w:iCs/>
        </w:rPr>
      </w:pPr>
      <w:r w:rsidRPr="009040C4">
        <w:rPr>
          <w:b/>
          <w:bCs/>
          <w:i/>
          <w:iCs/>
        </w:rPr>
        <w:t>Added by Conference</w:t>
      </w:r>
      <w:r>
        <w:rPr>
          <w:b/>
          <w:bCs/>
          <w:i/>
          <w:iCs/>
        </w:rPr>
        <w:t xml:space="preserve">. </w:t>
      </w:r>
    </w:p>
    <w:p w14:paraId="0F014245" w14:textId="3593688C" w:rsidR="00011286" w:rsidRPr="00FE6472" w:rsidRDefault="00011286" w:rsidP="00011286">
      <w:pPr>
        <w:rPr>
          <w:b/>
          <w:bCs/>
          <w:i/>
          <w:iCs/>
        </w:rPr>
      </w:pPr>
      <w:r w:rsidRPr="00FE6472">
        <w:rPr>
          <w:b/>
          <w:bCs/>
          <w:i/>
          <w:iCs/>
        </w:rPr>
        <w:t xml:space="preserve">Taxpayer Savings:   </w:t>
      </w:r>
      <w:r w:rsidR="00A14D21">
        <w:rPr>
          <w:b/>
          <w:bCs/>
          <w:i/>
          <w:iCs/>
        </w:rPr>
        <w:t xml:space="preserve">Local - </w:t>
      </w:r>
      <w:r w:rsidR="00F729A3">
        <w:rPr>
          <w:b/>
          <w:bCs/>
          <w:i/>
          <w:iCs/>
        </w:rPr>
        <w:t>indeterminate recurring</w:t>
      </w:r>
    </w:p>
    <w:p w14:paraId="667AD18A" w14:textId="77777777" w:rsidR="0097066C" w:rsidRDefault="0097066C" w:rsidP="006637FA">
      <w:pPr>
        <w:rPr>
          <w:b/>
          <w:bCs/>
        </w:rPr>
      </w:pPr>
    </w:p>
    <w:p w14:paraId="70904EAE" w14:textId="5DC194EB" w:rsidR="006637FA" w:rsidRDefault="006637FA" w:rsidP="006637FA">
      <w:r w:rsidRPr="006906E6">
        <w:rPr>
          <w:b/>
          <w:bCs/>
        </w:rPr>
        <w:lastRenderedPageBreak/>
        <w:t>Additional Save Our Homes Portability</w:t>
      </w:r>
      <w:r w:rsidRPr="006906E6">
        <w:t xml:space="preserve"> - Under current law, a taxpayer may transfer, or “port,” any accrued Save Our Homes benefit (up to $500,000 of value) from an immediate prior homestead to a new one. The bill allows the port from any homestead abandoned by the taxpayer in the prior three years. This change could allow for a larger reduction in ad valorem property taxes for property owners who change homes more than once in a three-year period. </w:t>
      </w:r>
    </w:p>
    <w:p w14:paraId="6B276F55" w14:textId="02DFC628" w:rsidR="006637FA" w:rsidRPr="00FE6472" w:rsidRDefault="006637FA" w:rsidP="006637FA">
      <w:pPr>
        <w:rPr>
          <w:b/>
          <w:bCs/>
          <w:i/>
          <w:iCs/>
        </w:rPr>
      </w:pPr>
      <w:r w:rsidRPr="00FE6472">
        <w:rPr>
          <w:b/>
          <w:bCs/>
          <w:i/>
          <w:iCs/>
        </w:rPr>
        <w:t>Recommended by House</w:t>
      </w:r>
      <w:r w:rsidR="0097066C">
        <w:rPr>
          <w:b/>
          <w:bCs/>
          <w:i/>
          <w:iCs/>
        </w:rPr>
        <w:t>.</w:t>
      </w:r>
    </w:p>
    <w:p w14:paraId="44E86980" w14:textId="5F10F918" w:rsidR="006637FA" w:rsidRDefault="006637FA" w:rsidP="006637FA">
      <w:pPr>
        <w:rPr>
          <w:b/>
          <w:bCs/>
          <w:i/>
          <w:iCs/>
        </w:rPr>
      </w:pPr>
      <w:r w:rsidRPr="00CB4671">
        <w:rPr>
          <w:b/>
          <w:bCs/>
          <w:i/>
          <w:iCs/>
        </w:rPr>
        <w:t>Taxpayer Savings:</w:t>
      </w:r>
      <w:r w:rsidRPr="00CB4671">
        <w:rPr>
          <w:b/>
          <w:bCs/>
          <w:i/>
          <w:iCs/>
        </w:rPr>
        <w:tab/>
      </w:r>
      <w:r w:rsidR="00A14D21">
        <w:rPr>
          <w:b/>
          <w:bCs/>
          <w:i/>
          <w:iCs/>
        </w:rPr>
        <w:t xml:space="preserve">Local - </w:t>
      </w:r>
      <w:r w:rsidRPr="00471B02">
        <w:rPr>
          <w:b/>
          <w:bCs/>
          <w:i/>
          <w:iCs/>
        </w:rPr>
        <w:t>Indeterminate recurring</w:t>
      </w:r>
    </w:p>
    <w:p w14:paraId="3F5943DA" w14:textId="77777777" w:rsidR="006637FA" w:rsidRDefault="006637FA" w:rsidP="006637FA">
      <w:pPr>
        <w:rPr>
          <w:b/>
          <w:bCs/>
          <w:i/>
          <w:iCs/>
        </w:rPr>
      </w:pPr>
    </w:p>
    <w:p w14:paraId="725E7E1E" w14:textId="232436DB" w:rsidR="006637FA" w:rsidRPr="00CB4671" w:rsidRDefault="006637FA" w:rsidP="006637FA">
      <w:pPr>
        <w:rPr>
          <w:b/>
          <w:bCs/>
          <w:i/>
          <w:iCs/>
        </w:rPr>
      </w:pPr>
      <w:r w:rsidRPr="00CB4671">
        <w:rPr>
          <w:b/>
          <w:bCs/>
        </w:rPr>
        <w:t>Homestead Properties Rented by Officers of the United State Government</w:t>
      </w:r>
      <w:r w:rsidRPr="00CB4671">
        <w:t xml:space="preserve"> – This provision affects homesteads that are owned by Diplomatic, Intelligence, Consular, and Foreign Service Officers whose employment requires them to be stationed, deployed, or are directed to reside outside of Florida. If the property is rented to another person, the federal officer may continue to receive a homestead exemption and the Save Our Homes benefit.</w:t>
      </w:r>
    </w:p>
    <w:p w14:paraId="2E193E49" w14:textId="39C98428" w:rsidR="006637FA" w:rsidRPr="00FE6472" w:rsidRDefault="006637FA" w:rsidP="006637FA">
      <w:pPr>
        <w:rPr>
          <w:b/>
          <w:bCs/>
          <w:i/>
          <w:iCs/>
        </w:rPr>
      </w:pPr>
      <w:r w:rsidRPr="00FE6472">
        <w:rPr>
          <w:b/>
          <w:bCs/>
          <w:i/>
          <w:iCs/>
        </w:rPr>
        <w:t>Recommended by House</w:t>
      </w:r>
      <w:r w:rsidR="0097066C">
        <w:rPr>
          <w:b/>
          <w:bCs/>
          <w:i/>
          <w:iCs/>
        </w:rPr>
        <w:t>.</w:t>
      </w:r>
    </w:p>
    <w:p w14:paraId="197733E3" w14:textId="5940904B" w:rsidR="006637FA" w:rsidRPr="00CB4671" w:rsidRDefault="006637FA" w:rsidP="006637FA">
      <w:pPr>
        <w:rPr>
          <w:b/>
          <w:bCs/>
          <w:i/>
          <w:iCs/>
        </w:rPr>
      </w:pPr>
      <w:r w:rsidRPr="00CB4671">
        <w:rPr>
          <w:b/>
          <w:bCs/>
          <w:i/>
          <w:iCs/>
        </w:rPr>
        <w:t>Taxpayer Savings</w:t>
      </w:r>
      <w:proofErr w:type="gramStart"/>
      <w:r w:rsidRPr="00CB4671">
        <w:rPr>
          <w:b/>
          <w:bCs/>
          <w:i/>
          <w:iCs/>
        </w:rPr>
        <w:t>:</w:t>
      </w:r>
      <w:r w:rsidRPr="00CB4671">
        <w:rPr>
          <w:b/>
          <w:bCs/>
          <w:i/>
          <w:iCs/>
        </w:rPr>
        <w:tab/>
        <w:t xml:space="preserve"> Local</w:t>
      </w:r>
      <w:proofErr w:type="gramEnd"/>
      <w:r w:rsidRPr="00CB4671">
        <w:rPr>
          <w:b/>
          <w:bCs/>
          <w:i/>
          <w:iCs/>
        </w:rPr>
        <w:t xml:space="preserve"> - </w:t>
      </w:r>
      <w:r w:rsidR="0021515D">
        <w:rPr>
          <w:b/>
          <w:bCs/>
          <w:i/>
          <w:iCs/>
        </w:rPr>
        <w:t>indeterminate</w:t>
      </w:r>
      <w:r w:rsidRPr="00CB4671">
        <w:rPr>
          <w:b/>
          <w:bCs/>
          <w:i/>
          <w:iCs/>
        </w:rPr>
        <w:t xml:space="preserve"> recurring</w:t>
      </w:r>
    </w:p>
    <w:p w14:paraId="233DD411" w14:textId="77777777" w:rsidR="006637FA" w:rsidRPr="009040C4" w:rsidRDefault="006637FA" w:rsidP="00011286">
      <w:pPr>
        <w:rPr>
          <w:b/>
          <w:bCs/>
        </w:rPr>
      </w:pPr>
    </w:p>
    <w:p w14:paraId="46CFF87F" w14:textId="761A87E8" w:rsidR="00C93866" w:rsidRDefault="0024619F" w:rsidP="00691680">
      <w:r w:rsidRPr="00397CFA">
        <w:rPr>
          <w:b/>
          <w:bCs/>
        </w:rPr>
        <w:t xml:space="preserve">Allow </w:t>
      </w:r>
      <w:r w:rsidR="00C93866" w:rsidRPr="00397CFA">
        <w:rPr>
          <w:b/>
          <w:bCs/>
        </w:rPr>
        <w:t>VAB</w:t>
      </w:r>
      <w:r w:rsidR="00EA224A" w:rsidRPr="00397CFA">
        <w:rPr>
          <w:b/>
          <w:bCs/>
        </w:rPr>
        <w:t xml:space="preserve">s to Hear </w:t>
      </w:r>
      <w:r w:rsidR="00C93866" w:rsidRPr="00397CFA">
        <w:rPr>
          <w:b/>
          <w:bCs/>
        </w:rPr>
        <w:t xml:space="preserve">Appeals Related to Timely Filing of a </w:t>
      </w:r>
      <w:r w:rsidR="00EA224A" w:rsidRPr="00397CFA">
        <w:rPr>
          <w:b/>
          <w:bCs/>
        </w:rPr>
        <w:t>T</w:t>
      </w:r>
      <w:r w:rsidR="00397CFA" w:rsidRPr="00397CFA">
        <w:rPr>
          <w:b/>
          <w:bCs/>
        </w:rPr>
        <w:t>PP</w:t>
      </w:r>
      <w:r w:rsidR="00C93866" w:rsidRPr="00397CFA">
        <w:rPr>
          <w:b/>
          <w:bCs/>
        </w:rPr>
        <w:t xml:space="preserve"> </w:t>
      </w:r>
      <w:r w:rsidR="008E29B8">
        <w:rPr>
          <w:b/>
          <w:bCs/>
        </w:rPr>
        <w:t xml:space="preserve">Tax </w:t>
      </w:r>
      <w:r w:rsidR="00C93866" w:rsidRPr="00397CFA">
        <w:rPr>
          <w:b/>
          <w:bCs/>
        </w:rPr>
        <w:t xml:space="preserve">Return </w:t>
      </w:r>
      <w:r w:rsidR="008E29B8">
        <w:rPr>
          <w:b/>
          <w:bCs/>
        </w:rPr>
        <w:t>–</w:t>
      </w:r>
      <w:r w:rsidR="000C2B5F">
        <w:rPr>
          <w:b/>
          <w:bCs/>
        </w:rPr>
        <w:t xml:space="preserve"> </w:t>
      </w:r>
      <w:r w:rsidR="008E29B8" w:rsidRPr="00421B63">
        <w:t xml:space="preserve">Tangible personal </w:t>
      </w:r>
      <w:r w:rsidR="00263028" w:rsidRPr="00421B63">
        <w:t>p</w:t>
      </w:r>
      <w:r w:rsidR="008E29B8" w:rsidRPr="00421B63">
        <w:t>roperty (TPP) tax</w:t>
      </w:r>
      <w:r w:rsidR="00263028" w:rsidRPr="00421B63">
        <w:t>p</w:t>
      </w:r>
      <w:r w:rsidR="008E29B8" w:rsidRPr="00421B63">
        <w:t xml:space="preserve">ayers must file a TPP return </w:t>
      </w:r>
      <w:r w:rsidR="00263028" w:rsidRPr="00421B63">
        <w:t>with the county property appraiser by April 1. The property appraiser must grant a 30-day extension and may grant an additional 15</w:t>
      </w:r>
      <w:r w:rsidR="00054979">
        <w:t xml:space="preserve"> </w:t>
      </w:r>
      <w:r w:rsidR="00263028" w:rsidRPr="00421B63">
        <w:t>day</w:t>
      </w:r>
      <w:r w:rsidR="00054979">
        <w:t>s</w:t>
      </w:r>
      <w:r w:rsidR="00263028" w:rsidRPr="00421B63">
        <w:t>.</w:t>
      </w:r>
      <w:r w:rsidR="00691680" w:rsidRPr="00421B63">
        <w:t xml:space="preserve"> An assessment may not be contested unless a return as was timely filed.</w:t>
      </w:r>
      <w:r w:rsidR="00F10BB3" w:rsidRPr="00421B63">
        <w:t xml:space="preserve"> A late TPP return may be subject to penalties. The new law add</w:t>
      </w:r>
      <w:r w:rsidR="001302A0" w:rsidRPr="00421B63">
        <w:t xml:space="preserve">s challenges </w:t>
      </w:r>
      <w:r w:rsidR="00421B63" w:rsidRPr="00421B63">
        <w:t xml:space="preserve">relating to the timely filing of </w:t>
      </w:r>
      <w:r w:rsidR="00421B63">
        <w:t xml:space="preserve">a </w:t>
      </w:r>
      <w:r w:rsidR="00421B63" w:rsidRPr="00421B63">
        <w:t>TPP return to the reasons a VAB may meet.</w:t>
      </w:r>
    </w:p>
    <w:p w14:paraId="7036A61F" w14:textId="208DF08A" w:rsidR="00421B63" w:rsidRPr="00FE6472" w:rsidRDefault="00421B63" w:rsidP="00691680">
      <w:pPr>
        <w:rPr>
          <w:b/>
          <w:bCs/>
          <w:i/>
          <w:iCs/>
        </w:rPr>
      </w:pPr>
      <w:r w:rsidRPr="00FE6472">
        <w:rPr>
          <w:b/>
          <w:bCs/>
          <w:i/>
          <w:iCs/>
        </w:rPr>
        <w:t>Recommended by Senate.</w:t>
      </w:r>
    </w:p>
    <w:p w14:paraId="453D4DE2" w14:textId="1C07FA1C" w:rsidR="004E0523" w:rsidRPr="00DC0763" w:rsidRDefault="006637FA" w:rsidP="004C7850">
      <w:r w:rsidRPr="00CB4671">
        <w:rPr>
          <w:b/>
          <w:bCs/>
          <w:i/>
          <w:iCs/>
        </w:rPr>
        <w:t>Taxpayer Savings:</w:t>
      </w:r>
      <w:r w:rsidRPr="00CB4671">
        <w:rPr>
          <w:b/>
          <w:bCs/>
          <w:i/>
          <w:iCs/>
        </w:rPr>
        <w:tab/>
      </w:r>
      <w:r w:rsidR="00A14D21">
        <w:rPr>
          <w:b/>
          <w:bCs/>
          <w:i/>
          <w:iCs/>
        </w:rPr>
        <w:t xml:space="preserve">Local - </w:t>
      </w:r>
      <w:r w:rsidRPr="00471B02">
        <w:rPr>
          <w:b/>
          <w:bCs/>
          <w:i/>
          <w:iCs/>
        </w:rPr>
        <w:t>Indeterminate recurring</w:t>
      </w:r>
    </w:p>
    <w:p w14:paraId="48D80647" w14:textId="0AADBE06" w:rsidR="004C7850" w:rsidRPr="00400B17" w:rsidRDefault="00825D23" w:rsidP="004C7850">
      <w:r>
        <w:rPr>
          <w:b/>
          <w:bCs/>
        </w:rPr>
        <w:br/>
      </w:r>
      <w:r w:rsidR="004C7850" w:rsidRPr="00400B17">
        <w:rPr>
          <w:b/>
          <w:bCs/>
        </w:rPr>
        <w:t xml:space="preserve">Tax Increment Financing Exemption for Children’s Services Councils </w:t>
      </w:r>
      <w:r w:rsidR="004C7850" w:rsidRPr="00400B17">
        <w:t>- The bill specifies that special taxing districts for children’s services are exempt from paying Community Redevelopment Agencies (CRAs) a portion of the taxes they collect pursuant to the CRA’s tax increment financing mechanism.</w:t>
      </w:r>
    </w:p>
    <w:p w14:paraId="7492B53B" w14:textId="55E62DFF" w:rsidR="00400B17" w:rsidRPr="0097066C" w:rsidRDefault="00400B17" w:rsidP="00400B17">
      <w:pPr>
        <w:rPr>
          <w:b/>
          <w:bCs/>
          <w:i/>
          <w:iCs/>
        </w:rPr>
      </w:pPr>
      <w:r w:rsidRPr="0097066C">
        <w:rPr>
          <w:b/>
          <w:bCs/>
          <w:i/>
          <w:iCs/>
        </w:rPr>
        <w:t>Recommended by House and Senate.</w:t>
      </w:r>
    </w:p>
    <w:p w14:paraId="16CC8F18" w14:textId="00B653A9" w:rsidR="004C7850" w:rsidRPr="00471B02" w:rsidRDefault="006637FA" w:rsidP="004C7850">
      <w:pPr>
        <w:rPr>
          <w:b/>
          <w:bCs/>
          <w:i/>
          <w:iCs/>
        </w:rPr>
      </w:pPr>
      <w:r w:rsidRPr="00CB4671">
        <w:rPr>
          <w:b/>
          <w:bCs/>
          <w:i/>
          <w:iCs/>
        </w:rPr>
        <w:t>Taxpayer Savings:</w:t>
      </w:r>
      <w:r w:rsidRPr="00CB4671">
        <w:rPr>
          <w:b/>
          <w:bCs/>
          <w:i/>
          <w:iCs/>
        </w:rPr>
        <w:tab/>
      </w:r>
      <w:r w:rsidR="00A14D21">
        <w:rPr>
          <w:b/>
          <w:bCs/>
          <w:i/>
          <w:iCs/>
        </w:rPr>
        <w:t xml:space="preserve">Local - </w:t>
      </w:r>
      <w:r w:rsidRPr="00471B02">
        <w:rPr>
          <w:b/>
          <w:bCs/>
          <w:i/>
          <w:iCs/>
        </w:rPr>
        <w:t>Indeterminate recurring</w:t>
      </w:r>
      <w:r w:rsidR="004C7850" w:rsidRPr="00BE10DA">
        <w:rPr>
          <w:b/>
          <w:bCs/>
          <w:i/>
          <w:iCs/>
        </w:rPr>
        <w:br/>
      </w:r>
      <w:r w:rsidR="004C7850" w:rsidRPr="00F62523">
        <w:rPr>
          <w:b/>
          <w:bCs/>
          <w:i/>
          <w:iCs/>
          <w:highlight w:val="green"/>
        </w:rPr>
        <w:br/>
      </w:r>
      <w:r w:rsidR="004C7850" w:rsidRPr="00471B02">
        <w:rPr>
          <w:b/>
          <w:bCs/>
        </w:rPr>
        <w:lastRenderedPageBreak/>
        <w:t>Notification of Exemption Denial</w:t>
      </w:r>
      <w:r w:rsidR="004C7850" w:rsidRPr="00471B02">
        <w:t xml:space="preserve"> - The bill allows property appraisers between July 1 and the date the TRIM notice is mailed to notify property owners who have applied for an exemption that they have received additional information that would cause their application to be denied. This allows property owners to challenge the denial at the Value Adjustment Board level, and potentially saves the owners significant court fees, interest, and penalties. </w:t>
      </w:r>
    </w:p>
    <w:p w14:paraId="7387D0D0" w14:textId="500A64CA" w:rsidR="00471B02" w:rsidRPr="0097066C" w:rsidRDefault="00471B02" w:rsidP="00471B02">
      <w:pPr>
        <w:rPr>
          <w:b/>
          <w:bCs/>
          <w:i/>
          <w:iCs/>
        </w:rPr>
      </w:pPr>
      <w:r w:rsidRPr="0097066C">
        <w:rPr>
          <w:b/>
          <w:bCs/>
          <w:i/>
          <w:iCs/>
        </w:rPr>
        <w:t>Recommended by House</w:t>
      </w:r>
      <w:r w:rsidR="0097066C">
        <w:rPr>
          <w:b/>
          <w:bCs/>
          <w:i/>
          <w:iCs/>
        </w:rPr>
        <w:t>.</w:t>
      </w:r>
    </w:p>
    <w:p w14:paraId="409A4EEE" w14:textId="371E96D1" w:rsidR="004C7850" w:rsidRPr="00471B02" w:rsidRDefault="004C7850" w:rsidP="004C7850">
      <w:r w:rsidRPr="00471B02">
        <w:rPr>
          <w:b/>
          <w:bCs/>
          <w:i/>
          <w:iCs/>
        </w:rPr>
        <w:t>Taxpayer Savings</w:t>
      </w:r>
      <w:r w:rsidRPr="00471B02">
        <w:rPr>
          <w:b/>
          <w:bCs/>
          <w:i/>
          <w:iCs/>
        </w:rPr>
        <w:tab/>
        <w:t>Local – Indeterminate</w:t>
      </w:r>
      <w:r w:rsidR="00CA5C89">
        <w:rPr>
          <w:b/>
          <w:bCs/>
          <w:i/>
          <w:iCs/>
        </w:rPr>
        <w:t xml:space="preserve"> or zero</w:t>
      </w:r>
      <w:r w:rsidRPr="00471B02">
        <w:rPr>
          <w:b/>
          <w:bCs/>
          <w:i/>
          <w:iCs/>
        </w:rPr>
        <w:t xml:space="preserve"> (recurring)</w:t>
      </w:r>
    </w:p>
    <w:p w14:paraId="3D5F523C" w14:textId="77777777" w:rsidR="004C7850" w:rsidRDefault="004C7850" w:rsidP="004C7850">
      <w:pPr>
        <w:rPr>
          <w:b/>
          <w:bCs/>
          <w:i/>
          <w:iCs/>
          <w:highlight w:val="green"/>
        </w:rPr>
      </w:pPr>
    </w:p>
    <w:p w14:paraId="0CE28FE2" w14:textId="77777777" w:rsidR="004C7850" w:rsidRPr="00D72CEA" w:rsidRDefault="004C7850" w:rsidP="004C7850">
      <w:pPr>
        <w:rPr>
          <w:b/>
          <w:bCs/>
          <w:i/>
          <w:iCs/>
        </w:rPr>
      </w:pPr>
      <w:r w:rsidRPr="00D72CEA">
        <w:rPr>
          <w:b/>
          <w:bCs/>
        </w:rPr>
        <w:t xml:space="preserve">New Levies by Municipal Service Taxing Units and Dependent Special Districts </w:t>
      </w:r>
      <w:r w:rsidRPr="00D72CEA">
        <w:t xml:space="preserve">- The bill clarifies the voting threshold for adoption of a millage rate for the first year that ad valorem taxes are levied for a municipal service taxing unit or for dependent special districts. The levy must be approved by a unanimous vote of the membership of the governing body of the county or municipality, or by a three-fourths vote of the membership of the governing body if the governing body has nine or more members, or by referendum. </w:t>
      </w:r>
    </w:p>
    <w:p w14:paraId="60DBD7AC" w14:textId="040F0A4A" w:rsidR="00D72CEA" w:rsidRPr="0097066C" w:rsidRDefault="00D72CEA" w:rsidP="00D72CEA">
      <w:pPr>
        <w:rPr>
          <w:b/>
          <w:bCs/>
          <w:i/>
          <w:iCs/>
        </w:rPr>
      </w:pPr>
      <w:r w:rsidRPr="0097066C">
        <w:rPr>
          <w:b/>
          <w:bCs/>
          <w:i/>
          <w:iCs/>
        </w:rPr>
        <w:t>Recommended by House</w:t>
      </w:r>
      <w:r w:rsidR="0097066C">
        <w:rPr>
          <w:b/>
          <w:bCs/>
          <w:i/>
          <w:iCs/>
        </w:rPr>
        <w:t>.</w:t>
      </w:r>
    </w:p>
    <w:p w14:paraId="6AB67A89" w14:textId="06BCDEAA" w:rsidR="004C7850" w:rsidRDefault="00D72CEA" w:rsidP="00D72CEA">
      <w:pPr>
        <w:rPr>
          <w:rFonts w:ascii="Open Sans" w:hAnsi="Open Sans" w:cs="Open Sans"/>
          <w:b/>
          <w:bCs/>
          <w:color w:val="111111"/>
          <w:sz w:val="21"/>
          <w:szCs w:val="21"/>
          <w:highlight w:val="green"/>
          <w:bdr w:val="none" w:sz="0" w:space="0" w:color="auto" w:frame="1"/>
          <w:shd w:val="clear" w:color="auto" w:fill="FFFFFF"/>
        </w:rPr>
      </w:pPr>
      <w:r w:rsidRPr="00CB4671">
        <w:rPr>
          <w:b/>
          <w:bCs/>
          <w:i/>
          <w:iCs/>
        </w:rPr>
        <w:t>Taxpayer Savings:</w:t>
      </w:r>
      <w:r w:rsidRPr="00CB4671">
        <w:rPr>
          <w:b/>
          <w:bCs/>
          <w:i/>
          <w:iCs/>
        </w:rPr>
        <w:tab/>
      </w:r>
      <w:r w:rsidR="00CC0048">
        <w:rPr>
          <w:b/>
          <w:bCs/>
          <w:i/>
          <w:iCs/>
        </w:rPr>
        <w:t xml:space="preserve">Local </w:t>
      </w:r>
      <w:r w:rsidR="00A14D21">
        <w:rPr>
          <w:b/>
          <w:bCs/>
          <w:i/>
          <w:iCs/>
        </w:rPr>
        <w:t xml:space="preserve">- </w:t>
      </w:r>
      <w:r>
        <w:rPr>
          <w:b/>
          <w:bCs/>
          <w:i/>
          <w:iCs/>
        </w:rPr>
        <w:t>Indeterminate</w:t>
      </w:r>
    </w:p>
    <w:p w14:paraId="182044A4" w14:textId="77777777" w:rsidR="00FE6472" w:rsidRDefault="00FE6472" w:rsidP="004C7850">
      <w:pPr>
        <w:rPr>
          <w:rFonts w:ascii="Open Sans" w:hAnsi="Open Sans" w:cs="Open Sans"/>
          <w:b/>
          <w:bCs/>
          <w:color w:val="111111"/>
          <w:sz w:val="21"/>
          <w:szCs w:val="21"/>
          <w:bdr w:val="none" w:sz="0" w:space="0" w:color="auto" w:frame="1"/>
          <w:shd w:val="clear" w:color="auto" w:fill="FFFFFF"/>
        </w:rPr>
      </w:pPr>
    </w:p>
    <w:p w14:paraId="7587C4C4" w14:textId="3134610A" w:rsidR="004C7850" w:rsidRPr="005F40AE" w:rsidRDefault="004C7850" w:rsidP="004C7850">
      <w:pPr>
        <w:rPr>
          <w:rFonts w:ascii="Open Sans" w:hAnsi="Open Sans" w:cs="Open Sans"/>
          <w:color w:val="111111"/>
          <w:sz w:val="21"/>
          <w:szCs w:val="21"/>
          <w:bdr w:val="none" w:sz="0" w:space="0" w:color="auto" w:frame="1"/>
          <w:shd w:val="clear" w:color="auto" w:fill="FFFFFF"/>
        </w:rPr>
      </w:pPr>
      <w:r w:rsidRPr="005F40AE">
        <w:rPr>
          <w:rFonts w:ascii="Open Sans" w:hAnsi="Open Sans" w:cs="Open Sans"/>
          <w:b/>
          <w:bCs/>
          <w:color w:val="111111"/>
          <w:sz w:val="21"/>
          <w:szCs w:val="21"/>
          <w:bdr w:val="none" w:sz="0" w:space="0" w:color="auto" w:frame="1"/>
          <w:shd w:val="clear" w:color="auto" w:fill="FFFFFF"/>
        </w:rPr>
        <w:t xml:space="preserve">Disclosure of Estimated Taxes - </w:t>
      </w:r>
      <w:r w:rsidRPr="005F40AE">
        <w:rPr>
          <w:rFonts w:ascii="Open Sans" w:hAnsi="Open Sans" w:cs="Open Sans"/>
          <w:color w:val="111111"/>
          <w:sz w:val="21"/>
          <w:szCs w:val="21"/>
          <w:bdr w:val="none" w:sz="0" w:space="0" w:color="auto" w:frame="1"/>
          <w:shd w:val="clear" w:color="auto" w:fill="FFFFFF"/>
        </w:rPr>
        <w:t xml:space="preserve">The bill requires online property listings to include estimated ad valorem taxes, rather than displaying the current owner's taxes, to give prospective buyers a more accurate picture of future tax liabilities. This overdue change is needed because Save Our Homes often makes a property's tax current tax bill much lower than it will be when the home is sold and reassessed </w:t>
      </w:r>
      <w:r w:rsidR="008D61BA">
        <w:rPr>
          <w:rFonts w:ascii="Open Sans" w:hAnsi="Open Sans" w:cs="Open Sans"/>
          <w:color w:val="111111"/>
          <w:sz w:val="21"/>
          <w:szCs w:val="21"/>
          <w:bdr w:val="none" w:sz="0" w:space="0" w:color="auto" w:frame="1"/>
          <w:shd w:val="clear" w:color="auto" w:fill="FFFFFF"/>
        </w:rPr>
        <w:t>at full value</w:t>
      </w:r>
      <w:r w:rsidRPr="005F40AE">
        <w:rPr>
          <w:rFonts w:ascii="Open Sans" w:hAnsi="Open Sans" w:cs="Open Sans"/>
          <w:color w:val="111111"/>
          <w:sz w:val="21"/>
          <w:szCs w:val="21"/>
          <w:bdr w:val="none" w:sz="0" w:space="0" w:color="auto" w:frame="1"/>
          <w:shd w:val="clear" w:color="auto" w:fill="FFFFFF"/>
        </w:rPr>
        <w:t>.</w:t>
      </w:r>
    </w:p>
    <w:p w14:paraId="659AC4DF" w14:textId="3F72327F" w:rsidR="002E1C32" w:rsidRPr="0097066C" w:rsidRDefault="002E1C32" w:rsidP="002E1C32">
      <w:pPr>
        <w:rPr>
          <w:b/>
          <w:bCs/>
          <w:i/>
          <w:iCs/>
        </w:rPr>
      </w:pPr>
      <w:r w:rsidRPr="0097066C">
        <w:rPr>
          <w:b/>
          <w:bCs/>
          <w:i/>
          <w:iCs/>
        </w:rPr>
        <w:t>Recommended by House and Senate</w:t>
      </w:r>
      <w:r w:rsidR="00D72F38">
        <w:rPr>
          <w:b/>
          <w:bCs/>
          <w:i/>
          <w:iCs/>
        </w:rPr>
        <w:t>.</w:t>
      </w:r>
    </w:p>
    <w:p w14:paraId="74947BBA" w14:textId="77777777" w:rsidR="004C7850" w:rsidRPr="00F62523" w:rsidRDefault="004C7850" w:rsidP="004C7850">
      <w:pPr>
        <w:rPr>
          <w:b/>
          <w:bCs/>
          <w:i/>
          <w:iCs/>
          <w:highlight w:val="green"/>
        </w:rPr>
      </w:pPr>
      <w:r w:rsidRPr="005F40AE">
        <w:rPr>
          <w:b/>
          <w:bCs/>
          <w:i/>
          <w:iCs/>
        </w:rPr>
        <w:t>Taxpayer Savings:</w:t>
      </w:r>
      <w:r w:rsidRPr="005F40AE">
        <w:rPr>
          <w:b/>
          <w:bCs/>
          <w:i/>
          <w:iCs/>
        </w:rPr>
        <w:tab/>
        <w:t xml:space="preserve"> None</w:t>
      </w:r>
      <w:r>
        <w:rPr>
          <w:b/>
          <w:bCs/>
          <w:i/>
          <w:iCs/>
        </w:rPr>
        <w:br/>
      </w:r>
    </w:p>
    <w:p w14:paraId="2F629DF3" w14:textId="77777777" w:rsidR="00F151F1" w:rsidRPr="006906E6" w:rsidRDefault="00F151F1" w:rsidP="004C7850">
      <w:pPr>
        <w:rPr>
          <w:b/>
          <w:bCs/>
          <w:i/>
          <w:iCs/>
        </w:rPr>
      </w:pPr>
    </w:p>
    <w:p w14:paraId="144A0FC0" w14:textId="77777777" w:rsidR="001C6878" w:rsidRPr="00D72F38" w:rsidRDefault="001C6878" w:rsidP="001C6878">
      <w:pPr>
        <w:rPr>
          <w:b/>
          <w:bCs/>
          <w:sz w:val="32"/>
          <w:szCs w:val="32"/>
        </w:rPr>
      </w:pPr>
      <w:r w:rsidRPr="00D72F38">
        <w:rPr>
          <w:b/>
          <w:bCs/>
          <w:sz w:val="32"/>
          <w:szCs w:val="32"/>
        </w:rPr>
        <w:t>Other Taxes</w:t>
      </w:r>
    </w:p>
    <w:p w14:paraId="43413219" w14:textId="49443C4F" w:rsidR="001C6878" w:rsidRDefault="001C6878" w:rsidP="001C6878">
      <w:r>
        <w:rPr>
          <w:b/>
          <w:bCs/>
        </w:rPr>
        <w:br/>
      </w:r>
      <w:r w:rsidRPr="006A3D46">
        <w:rPr>
          <w:b/>
          <w:bCs/>
        </w:rPr>
        <w:t xml:space="preserve">Gambling Taxes </w:t>
      </w:r>
      <w:r w:rsidRPr="006A3D46">
        <w:t xml:space="preserve">- The bill reduces the </w:t>
      </w:r>
      <w:r w:rsidRPr="00071F29">
        <w:t>pari-mutuel cardroom tax rate</w:t>
      </w:r>
      <w:r w:rsidRPr="006A3D46">
        <w:t xml:space="preserve"> on the monthly gross receipts of cardroom operators from 8 percent to 5 percent. The tax rate on slot machine revenues </w:t>
      </w:r>
      <w:proofErr w:type="gramStart"/>
      <w:r w:rsidRPr="006A3D46">
        <w:t>is</w:t>
      </w:r>
      <w:proofErr w:type="gramEnd"/>
      <w:r w:rsidRPr="006A3D46">
        <w:t xml:space="preserve"> reduced from 35 percent to 34 percent. Beginning July 1, 2026, the bill also provides an exemption from the annual license fee for slot machine permitholders that are prohibited by the Florida Constitution from conducting live racing and </w:t>
      </w:r>
      <w:r w:rsidR="00266449" w:rsidRPr="006A3D46">
        <w:t>are in</w:t>
      </w:r>
      <w:r w:rsidRPr="006A3D46">
        <w:t xml:space="preserve"> a county where </w:t>
      </w:r>
      <w:r w:rsidRPr="006A3D46">
        <w:lastRenderedPageBreak/>
        <w:t>the Seminole Tribe of Florida operates at least two casinos</w:t>
      </w:r>
      <w:r w:rsidR="00836C02">
        <w:t xml:space="preserve"> (currently only Broward County)</w:t>
      </w:r>
      <w:r w:rsidRPr="006A3D46">
        <w:t xml:space="preserve">. </w:t>
      </w:r>
    </w:p>
    <w:p w14:paraId="1429F5E8" w14:textId="795EF665" w:rsidR="0008509C" w:rsidRPr="00D72F38" w:rsidRDefault="0008509C" w:rsidP="0008509C">
      <w:pPr>
        <w:rPr>
          <w:b/>
          <w:bCs/>
          <w:i/>
          <w:iCs/>
        </w:rPr>
      </w:pPr>
      <w:r w:rsidRPr="00D72F38">
        <w:rPr>
          <w:b/>
          <w:bCs/>
          <w:i/>
          <w:iCs/>
        </w:rPr>
        <w:t>Recommended by House</w:t>
      </w:r>
      <w:r w:rsidR="00D72F38">
        <w:rPr>
          <w:b/>
          <w:bCs/>
          <w:i/>
          <w:iCs/>
        </w:rPr>
        <w:t>.</w:t>
      </w:r>
    </w:p>
    <w:p w14:paraId="372BB1FD" w14:textId="726B35BF" w:rsidR="001C6878" w:rsidRPr="00671BF8" w:rsidRDefault="001C6878" w:rsidP="001C6878">
      <w:pPr>
        <w:rPr>
          <w:b/>
          <w:bCs/>
          <w:i/>
          <w:iCs/>
        </w:rPr>
      </w:pPr>
      <w:r w:rsidRPr="006A3D46">
        <w:rPr>
          <w:b/>
          <w:bCs/>
          <w:i/>
          <w:iCs/>
        </w:rPr>
        <w:t>Taxpayer Savings (Slot License)</w:t>
      </w:r>
      <w:proofErr w:type="gramStart"/>
      <w:r w:rsidRPr="006A3D46">
        <w:rPr>
          <w:b/>
          <w:bCs/>
          <w:i/>
          <w:iCs/>
        </w:rPr>
        <w:t>:</w:t>
      </w:r>
      <w:r w:rsidRPr="006A3D46">
        <w:rPr>
          <w:b/>
          <w:bCs/>
          <w:i/>
          <w:iCs/>
        </w:rPr>
        <w:tab/>
        <w:t xml:space="preserve"> </w:t>
      </w:r>
      <w:r w:rsidRPr="006A3D46">
        <w:rPr>
          <w:b/>
          <w:bCs/>
          <w:i/>
          <w:iCs/>
        </w:rPr>
        <w:tab/>
      </w:r>
      <w:proofErr w:type="gramEnd"/>
      <w:r w:rsidRPr="006A3D46">
        <w:rPr>
          <w:b/>
          <w:bCs/>
          <w:i/>
          <w:iCs/>
        </w:rPr>
        <w:t>State - $2.0 million recurring (Trust Fund)</w:t>
      </w:r>
      <w:r w:rsidRPr="006A3D46">
        <w:rPr>
          <w:b/>
          <w:bCs/>
          <w:i/>
          <w:iCs/>
        </w:rPr>
        <w:tab/>
        <w:t xml:space="preserve">  </w:t>
      </w:r>
      <w:r w:rsidRPr="006A3D46">
        <w:rPr>
          <w:b/>
          <w:bCs/>
          <w:i/>
          <w:iCs/>
        </w:rPr>
        <w:br/>
        <w:t>Taxpayer Savings (Slot Tax)</w:t>
      </w:r>
      <w:proofErr w:type="gramStart"/>
      <w:r w:rsidRPr="006A3D46">
        <w:rPr>
          <w:b/>
          <w:bCs/>
          <w:i/>
          <w:iCs/>
        </w:rPr>
        <w:t>:</w:t>
      </w:r>
      <w:r w:rsidRPr="006A3D46">
        <w:rPr>
          <w:b/>
          <w:bCs/>
          <w:i/>
          <w:iCs/>
        </w:rPr>
        <w:tab/>
        <w:t xml:space="preserve"> </w:t>
      </w:r>
      <w:r w:rsidRPr="006A3D46">
        <w:rPr>
          <w:b/>
          <w:bCs/>
          <w:i/>
          <w:iCs/>
        </w:rPr>
        <w:tab/>
      </w:r>
      <w:proofErr w:type="gramEnd"/>
      <w:r w:rsidRPr="006A3D46">
        <w:rPr>
          <w:b/>
          <w:bCs/>
          <w:i/>
          <w:iCs/>
        </w:rPr>
        <w:t>State - $7.</w:t>
      </w:r>
      <w:r w:rsidR="00FC3503">
        <w:rPr>
          <w:b/>
          <w:bCs/>
          <w:i/>
          <w:iCs/>
        </w:rPr>
        <w:t>5</w:t>
      </w:r>
      <w:r w:rsidRPr="006A3D46">
        <w:rPr>
          <w:b/>
          <w:bCs/>
          <w:i/>
          <w:iCs/>
        </w:rPr>
        <w:t xml:space="preserve"> million recurring (Trust Fund)</w:t>
      </w:r>
      <w:r w:rsidRPr="006A3D46">
        <w:rPr>
          <w:b/>
          <w:bCs/>
          <w:i/>
          <w:iCs/>
        </w:rPr>
        <w:tab/>
        <w:t xml:space="preserve">  </w:t>
      </w:r>
      <w:r w:rsidRPr="006A3D46">
        <w:rPr>
          <w:b/>
          <w:bCs/>
          <w:i/>
          <w:iCs/>
        </w:rPr>
        <w:br/>
        <w:t>Taxpayer Savings (Cardrooms)</w:t>
      </w:r>
      <w:proofErr w:type="gramStart"/>
      <w:r w:rsidRPr="006A3D46">
        <w:rPr>
          <w:b/>
          <w:bCs/>
          <w:i/>
          <w:iCs/>
        </w:rPr>
        <w:t>:</w:t>
      </w:r>
      <w:r w:rsidRPr="006A3D46">
        <w:rPr>
          <w:b/>
          <w:bCs/>
          <w:i/>
          <w:iCs/>
        </w:rPr>
        <w:tab/>
      </w:r>
      <w:r w:rsidRPr="006A3D46">
        <w:rPr>
          <w:b/>
          <w:bCs/>
          <w:i/>
          <w:iCs/>
        </w:rPr>
        <w:tab/>
        <w:t>State</w:t>
      </w:r>
      <w:proofErr w:type="gramEnd"/>
      <w:r w:rsidRPr="006A3D46">
        <w:rPr>
          <w:b/>
          <w:bCs/>
          <w:i/>
          <w:iCs/>
        </w:rPr>
        <w:t xml:space="preserve"> - $3.</w:t>
      </w:r>
      <w:r w:rsidR="00502B3D">
        <w:rPr>
          <w:b/>
          <w:bCs/>
          <w:i/>
          <w:iCs/>
        </w:rPr>
        <w:t>9</w:t>
      </w:r>
      <w:r w:rsidRPr="006A3D46">
        <w:rPr>
          <w:b/>
          <w:bCs/>
          <w:i/>
          <w:iCs/>
        </w:rPr>
        <w:t xml:space="preserve"> million recurring (Trust Fund)</w:t>
      </w:r>
      <w:r w:rsidRPr="006A3D46">
        <w:rPr>
          <w:b/>
          <w:bCs/>
          <w:i/>
          <w:iCs/>
        </w:rPr>
        <w:br/>
      </w:r>
      <w:r w:rsidRPr="006A3D46">
        <w:rPr>
          <w:b/>
          <w:bCs/>
          <w:i/>
          <w:iCs/>
        </w:rPr>
        <w:tab/>
      </w:r>
      <w:r w:rsidRPr="006A3D46">
        <w:rPr>
          <w:b/>
          <w:bCs/>
          <w:i/>
          <w:iCs/>
        </w:rPr>
        <w:tab/>
      </w:r>
      <w:r w:rsidRPr="006A3D46">
        <w:rPr>
          <w:b/>
          <w:bCs/>
          <w:i/>
          <w:iCs/>
        </w:rPr>
        <w:tab/>
      </w:r>
      <w:r w:rsidRPr="006A3D46">
        <w:rPr>
          <w:b/>
          <w:bCs/>
          <w:i/>
          <w:iCs/>
        </w:rPr>
        <w:tab/>
      </w:r>
      <w:r w:rsidRPr="006A3D46">
        <w:rPr>
          <w:b/>
          <w:bCs/>
          <w:i/>
          <w:iCs/>
        </w:rPr>
        <w:tab/>
      </w:r>
      <w:r w:rsidRPr="006A3D46">
        <w:rPr>
          <w:b/>
          <w:bCs/>
          <w:i/>
          <w:iCs/>
        </w:rPr>
        <w:tab/>
        <w:t>State - $3.3 million recurring (GR)</w:t>
      </w:r>
      <w:r w:rsidRPr="006A3D46">
        <w:rPr>
          <w:b/>
          <w:bCs/>
          <w:i/>
          <w:iCs/>
        </w:rPr>
        <w:br/>
        <w:t>Total:</w:t>
      </w:r>
      <w:r w:rsidRPr="006A3D46">
        <w:rPr>
          <w:b/>
          <w:bCs/>
          <w:i/>
          <w:iCs/>
        </w:rPr>
        <w:tab/>
      </w:r>
      <w:r w:rsidRPr="006A3D46">
        <w:rPr>
          <w:b/>
          <w:bCs/>
          <w:i/>
          <w:iCs/>
        </w:rPr>
        <w:tab/>
      </w:r>
      <w:r w:rsidRPr="006A3D46">
        <w:rPr>
          <w:b/>
          <w:bCs/>
          <w:i/>
          <w:iCs/>
        </w:rPr>
        <w:tab/>
      </w:r>
      <w:r w:rsidRPr="006A3D46">
        <w:rPr>
          <w:b/>
          <w:bCs/>
          <w:i/>
          <w:iCs/>
        </w:rPr>
        <w:tab/>
      </w:r>
      <w:r w:rsidRPr="006A3D46">
        <w:rPr>
          <w:b/>
          <w:bCs/>
          <w:i/>
          <w:iCs/>
        </w:rPr>
        <w:tab/>
      </w:r>
      <w:r w:rsidRPr="006A3D46">
        <w:rPr>
          <w:b/>
          <w:bCs/>
          <w:i/>
          <w:iCs/>
        </w:rPr>
        <w:tab/>
        <w:t>State - $</w:t>
      </w:r>
      <w:r w:rsidR="0069412F">
        <w:rPr>
          <w:b/>
          <w:bCs/>
          <w:i/>
          <w:iCs/>
        </w:rPr>
        <w:t>16.7</w:t>
      </w:r>
      <w:r w:rsidRPr="006A3D46">
        <w:rPr>
          <w:b/>
          <w:bCs/>
          <w:i/>
          <w:iCs/>
        </w:rPr>
        <w:t xml:space="preserve"> recurring</w:t>
      </w:r>
    </w:p>
    <w:p w14:paraId="742666A3" w14:textId="77777777" w:rsidR="002548F9" w:rsidRDefault="002548F9" w:rsidP="002514F7">
      <w:pPr>
        <w:rPr>
          <w:b/>
          <w:bCs/>
          <w:i/>
          <w:iCs/>
        </w:rPr>
      </w:pPr>
    </w:p>
    <w:p w14:paraId="744614A7" w14:textId="77777777" w:rsidR="00D8486C" w:rsidRDefault="002548F9" w:rsidP="00096454">
      <w:r w:rsidRPr="00AD775C">
        <w:rPr>
          <w:b/>
          <w:bCs/>
          <w:i/>
          <w:iCs/>
        </w:rPr>
        <w:t xml:space="preserve">Strong Families </w:t>
      </w:r>
      <w:r w:rsidR="00AD775C" w:rsidRPr="00AD775C">
        <w:rPr>
          <w:b/>
          <w:bCs/>
          <w:i/>
          <w:iCs/>
        </w:rPr>
        <w:t xml:space="preserve">Tax Credit Program - </w:t>
      </w:r>
      <w:r w:rsidR="00FB1748">
        <w:t xml:space="preserve">This program </w:t>
      </w:r>
      <w:r w:rsidR="00FB1748" w:rsidRPr="00FB1748">
        <w:t xml:space="preserve">provides </w:t>
      </w:r>
      <w:proofErr w:type="gramStart"/>
      <w:r w:rsidR="00FB1748" w:rsidRPr="00FB1748">
        <w:t>credits</w:t>
      </w:r>
      <w:proofErr w:type="gramEnd"/>
      <w:r w:rsidR="00FB1748" w:rsidRPr="00FB1748">
        <w:t xml:space="preserve"> against multiple taxes for</w:t>
      </w:r>
      <w:r w:rsidR="0029605B">
        <w:t xml:space="preserve"> monetary donations to certain eligible charitable organizations that provide services focused on child welfare and well-being.</w:t>
      </w:r>
      <w:r w:rsidR="00764D74">
        <w:t xml:space="preserve"> The bill increase</w:t>
      </w:r>
      <w:r w:rsidR="00C20892">
        <w:t>s</w:t>
      </w:r>
      <w:r w:rsidR="001E18F3">
        <w:t xml:space="preserve"> the annual cap on total credits from $40.0 million to $53.1 million</w:t>
      </w:r>
      <w:r w:rsidR="00475959">
        <w:t xml:space="preserve"> for the next two fiscal years. </w:t>
      </w:r>
      <w:r w:rsidR="00C20892">
        <w:t>In addition,</w:t>
      </w:r>
      <w:r w:rsidR="006625EB">
        <w:t xml:space="preserve"> beginning January 1, 2027, </w:t>
      </w:r>
      <w:r w:rsidR="00A96409">
        <w:t xml:space="preserve">a taxpayer may </w:t>
      </w:r>
      <w:r w:rsidR="00096454">
        <w:t>not apply for a tax credit greater than</w:t>
      </w:r>
      <w:r w:rsidR="00A45AFC">
        <w:t xml:space="preserve"> </w:t>
      </w:r>
      <w:r w:rsidR="00096454">
        <w:t>$2 million per eligible charitable organization</w:t>
      </w:r>
      <w:r w:rsidR="00A07F31">
        <w:t xml:space="preserve"> </w:t>
      </w:r>
      <w:r w:rsidR="00F719F6">
        <w:t xml:space="preserve">in any year and </w:t>
      </w:r>
      <w:r w:rsidR="00470BDD">
        <w:t xml:space="preserve">the total amount of tax credits </w:t>
      </w:r>
      <w:r w:rsidR="00B361D3">
        <w:t xml:space="preserve">for any single </w:t>
      </w:r>
      <w:r w:rsidR="00C71E0B">
        <w:t xml:space="preserve">eligible </w:t>
      </w:r>
      <w:r w:rsidR="00B361D3">
        <w:t xml:space="preserve">charitable </w:t>
      </w:r>
      <w:r w:rsidR="00C71E0B">
        <w:t xml:space="preserve">organization </w:t>
      </w:r>
      <w:r w:rsidR="004648C4">
        <w:t xml:space="preserve">that may be approved in a year </w:t>
      </w:r>
      <w:r w:rsidR="006A74E9">
        <w:t>cannot exceed $10 million.</w:t>
      </w:r>
    </w:p>
    <w:p w14:paraId="2A541658" w14:textId="77777777" w:rsidR="009E10E8" w:rsidRDefault="00D8486C" w:rsidP="00096454">
      <w:r w:rsidRPr="00D8486C">
        <w:rPr>
          <w:b/>
          <w:bCs/>
        </w:rPr>
        <w:t xml:space="preserve">Added by conference </w:t>
      </w:r>
      <w:r w:rsidRPr="0019551D">
        <w:rPr>
          <w:b/>
          <w:bCs/>
        </w:rPr>
        <w:t>committee</w:t>
      </w:r>
      <w:r w:rsidR="0019551D" w:rsidRPr="0019551D">
        <w:rPr>
          <w:b/>
          <w:bCs/>
        </w:rPr>
        <w:t xml:space="preserve">. </w:t>
      </w:r>
      <w:r w:rsidR="0019551D">
        <w:rPr>
          <w:b/>
          <w:bCs/>
        </w:rPr>
        <w:t xml:space="preserve"> </w:t>
      </w:r>
      <w:r w:rsidR="0019551D">
        <w:t xml:space="preserve">The House package </w:t>
      </w:r>
      <w:r w:rsidR="00BC6569">
        <w:t xml:space="preserve">set the caps on taxpayers and </w:t>
      </w:r>
      <w:r w:rsidR="009A7AA8">
        <w:t>charitable</w:t>
      </w:r>
      <w:r w:rsidR="00BC6569">
        <w:t xml:space="preserve"> organizations at $1 </w:t>
      </w:r>
      <w:r w:rsidR="00D465B9">
        <w:t>million and $5 million</w:t>
      </w:r>
      <w:r w:rsidR="009A7AA8">
        <w:t>. The conference doubled those limits and added the $13.1 million increase o</w:t>
      </w:r>
      <w:r w:rsidR="009E10E8">
        <w:t>f the cap on total annual credits.</w:t>
      </w:r>
    </w:p>
    <w:p w14:paraId="4B68B023" w14:textId="13519A3F" w:rsidR="00C91229" w:rsidRPr="0092733B" w:rsidRDefault="009E10E8" w:rsidP="00096454">
      <w:pPr>
        <w:rPr>
          <w:b/>
          <w:bCs/>
          <w:i/>
          <w:iCs/>
          <w:highlight w:val="green"/>
        </w:rPr>
      </w:pPr>
      <w:r w:rsidRPr="0092733B">
        <w:rPr>
          <w:b/>
          <w:bCs/>
          <w:i/>
          <w:iCs/>
        </w:rPr>
        <w:t>Taxpayer Savings -</w:t>
      </w:r>
      <w:r w:rsidR="00E13976" w:rsidRPr="00E13976">
        <w:rPr>
          <w:b/>
          <w:bCs/>
          <w:i/>
          <w:iCs/>
        </w:rPr>
        <w:t xml:space="preserve"> </w:t>
      </w:r>
      <w:r w:rsidR="00E13976" w:rsidRPr="00A02E21">
        <w:rPr>
          <w:b/>
          <w:bCs/>
          <w:i/>
          <w:iCs/>
        </w:rPr>
        <w:t xml:space="preserve">State (GR) - </w:t>
      </w:r>
      <w:r w:rsidRPr="0092733B">
        <w:rPr>
          <w:b/>
          <w:bCs/>
          <w:i/>
          <w:iCs/>
        </w:rPr>
        <w:t xml:space="preserve">$13.1 </w:t>
      </w:r>
      <w:r w:rsidR="0092733B" w:rsidRPr="0092733B">
        <w:rPr>
          <w:b/>
          <w:bCs/>
          <w:i/>
          <w:iCs/>
        </w:rPr>
        <w:t>million a year for two years.</w:t>
      </w:r>
      <w:r w:rsidR="002548F9" w:rsidRPr="0092733B">
        <w:rPr>
          <w:b/>
          <w:bCs/>
          <w:i/>
          <w:iCs/>
          <w:highlight w:val="green"/>
        </w:rPr>
        <w:br/>
      </w:r>
    </w:p>
    <w:p w14:paraId="7D5AF421" w14:textId="32B3DD73" w:rsidR="00C91229" w:rsidRPr="00A02E21" w:rsidRDefault="00C91229" w:rsidP="00C91229">
      <w:pPr>
        <w:rPr>
          <w:b/>
          <w:bCs/>
          <w:i/>
          <w:iCs/>
        </w:rPr>
      </w:pPr>
      <w:r w:rsidRPr="00A02E21">
        <w:rPr>
          <w:b/>
          <w:bCs/>
        </w:rPr>
        <w:t>Child Care Tax Credit</w:t>
      </w:r>
      <w:r w:rsidRPr="00A02E21">
        <w:t xml:space="preserve"> - The bill extends the program, which provides credits against multiple taxes for 50 percent of the startup costs of an eligible child care facility; $300 per child, per month, enrolled in an eligible child care facility operated by the taxpayer; or 100 percent of payments, up to $3600 per child per year, made directly to an eligible child care facility on behalf of an employee. Currently authorized through FY2026-27, the bill extends the program for </w:t>
      </w:r>
      <w:r w:rsidR="00F33203">
        <w:t>one</w:t>
      </w:r>
      <w:r w:rsidRPr="00A02E21">
        <w:t xml:space="preserve"> year. </w:t>
      </w:r>
    </w:p>
    <w:p w14:paraId="3EFCEC3C" w14:textId="223EBEF4" w:rsidR="00BE138E" w:rsidRPr="00BE138E" w:rsidRDefault="00BE138E" w:rsidP="00BE138E">
      <w:r w:rsidRPr="00BE10DA">
        <w:rPr>
          <w:b/>
          <w:bCs/>
        </w:rPr>
        <w:t>Recommended by House</w:t>
      </w:r>
      <w:r>
        <w:rPr>
          <w:b/>
          <w:bCs/>
        </w:rPr>
        <w:t xml:space="preserve">.  </w:t>
      </w:r>
      <w:r>
        <w:t xml:space="preserve">The House tax package proposed a three-year </w:t>
      </w:r>
      <w:r w:rsidR="00E91412">
        <w:t>extension;</w:t>
      </w:r>
      <w:r>
        <w:t xml:space="preserve"> the conference committee reduced it to one year.</w:t>
      </w:r>
    </w:p>
    <w:p w14:paraId="794D0D16" w14:textId="77777777" w:rsidR="000123B3" w:rsidRDefault="00C91229" w:rsidP="0002565A">
      <w:pPr>
        <w:rPr>
          <w:b/>
          <w:bCs/>
          <w:i/>
          <w:iCs/>
        </w:rPr>
      </w:pPr>
      <w:r w:rsidRPr="00A02E21">
        <w:rPr>
          <w:b/>
          <w:bCs/>
          <w:i/>
          <w:iCs/>
        </w:rPr>
        <w:t>Taxpayer Savings</w:t>
      </w:r>
      <w:proofErr w:type="gramStart"/>
      <w:r w:rsidRPr="00A02E21">
        <w:rPr>
          <w:b/>
          <w:bCs/>
          <w:i/>
          <w:iCs/>
        </w:rPr>
        <w:t>:</w:t>
      </w:r>
      <w:r w:rsidR="00875869">
        <w:rPr>
          <w:b/>
          <w:bCs/>
          <w:i/>
          <w:iCs/>
        </w:rPr>
        <w:t xml:space="preserve">  </w:t>
      </w:r>
      <w:r w:rsidRPr="00A02E21">
        <w:rPr>
          <w:b/>
          <w:bCs/>
          <w:i/>
          <w:iCs/>
        </w:rPr>
        <w:t>State</w:t>
      </w:r>
      <w:proofErr w:type="gramEnd"/>
      <w:r w:rsidRPr="00A02E21">
        <w:rPr>
          <w:b/>
          <w:bCs/>
          <w:i/>
          <w:iCs/>
        </w:rPr>
        <w:t xml:space="preserve"> (GR) - $5.0 million </w:t>
      </w:r>
      <w:r w:rsidR="00FC13B3">
        <w:rPr>
          <w:b/>
          <w:bCs/>
          <w:i/>
          <w:iCs/>
        </w:rPr>
        <w:t>for one year</w:t>
      </w:r>
      <w:r w:rsidR="003848BD">
        <w:rPr>
          <w:b/>
          <w:bCs/>
          <w:i/>
          <w:iCs/>
        </w:rPr>
        <w:t>.</w:t>
      </w:r>
      <w:r w:rsidRPr="000D6256">
        <w:rPr>
          <w:b/>
          <w:bCs/>
          <w:i/>
          <w:iCs/>
        </w:rPr>
        <w:t xml:space="preserve"> </w:t>
      </w:r>
      <w:r>
        <w:rPr>
          <w:b/>
          <w:bCs/>
          <w:i/>
          <w:iCs/>
        </w:rPr>
        <w:br/>
      </w:r>
    </w:p>
    <w:p w14:paraId="1449E566" w14:textId="263C7B25" w:rsidR="0002565A" w:rsidRPr="000123B3" w:rsidRDefault="0002565A" w:rsidP="0002565A">
      <w:pPr>
        <w:rPr>
          <w:b/>
          <w:bCs/>
        </w:rPr>
      </w:pPr>
      <w:r>
        <w:rPr>
          <w:b/>
          <w:bCs/>
        </w:rPr>
        <w:t xml:space="preserve">Documentary Stamp Tax - </w:t>
      </w:r>
      <w:r w:rsidRPr="007E3FF0">
        <w:rPr>
          <w:b/>
          <w:bCs/>
        </w:rPr>
        <w:t>Alarm System Contractors</w:t>
      </w:r>
      <w:r w:rsidRPr="007E3FF0">
        <w:t xml:space="preserve"> - In 2024, the Legislature created a three-year documentary stamp tax exemption for non-interest-bearing written obligations to pay $3,500 or less, in connection with the sale of an alarm system. The bill extends this exemption for </w:t>
      </w:r>
      <w:r>
        <w:t>one</w:t>
      </w:r>
      <w:r w:rsidRPr="007E3FF0">
        <w:t xml:space="preserve"> additional year, until June 30, 20</w:t>
      </w:r>
      <w:r>
        <w:t>28</w:t>
      </w:r>
      <w:r w:rsidRPr="007E3FF0">
        <w:t xml:space="preserve">. </w:t>
      </w:r>
    </w:p>
    <w:p w14:paraId="71F233D2" w14:textId="77777777" w:rsidR="0002565A" w:rsidRPr="008D026F" w:rsidRDefault="0002565A" w:rsidP="0002565A">
      <w:pPr>
        <w:rPr>
          <w:i/>
          <w:iCs/>
        </w:rPr>
      </w:pPr>
      <w:r>
        <w:rPr>
          <w:b/>
          <w:bCs/>
          <w:i/>
          <w:iCs/>
        </w:rPr>
        <w:lastRenderedPageBreak/>
        <w:t xml:space="preserve">Recommended by House. </w:t>
      </w:r>
      <w:r w:rsidRPr="008D026F">
        <w:rPr>
          <w:i/>
          <w:iCs/>
        </w:rPr>
        <w:t>The House tax package proposed a three-year extension. The conference report reduced it to one year.</w:t>
      </w:r>
    </w:p>
    <w:p w14:paraId="25549658" w14:textId="44C78284" w:rsidR="00C91229" w:rsidRDefault="0002565A" w:rsidP="0002565A">
      <w:pPr>
        <w:rPr>
          <w:b/>
          <w:bCs/>
          <w:i/>
          <w:iCs/>
        </w:rPr>
      </w:pPr>
      <w:r w:rsidRPr="007E3FF0">
        <w:rPr>
          <w:b/>
          <w:bCs/>
          <w:i/>
          <w:iCs/>
        </w:rPr>
        <w:t>Taxpayer Savings:    State</w:t>
      </w:r>
      <w:r>
        <w:rPr>
          <w:b/>
          <w:bCs/>
          <w:i/>
          <w:iCs/>
        </w:rPr>
        <w:t xml:space="preserve"> </w:t>
      </w:r>
      <w:r w:rsidRPr="007E3FF0">
        <w:rPr>
          <w:b/>
          <w:bCs/>
          <w:i/>
          <w:iCs/>
        </w:rPr>
        <w:t>- $</w:t>
      </w:r>
      <w:r>
        <w:rPr>
          <w:b/>
          <w:bCs/>
          <w:i/>
          <w:iCs/>
        </w:rPr>
        <w:t>1.2</w:t>
      </w:r>
      <w:r w:rsidRPr="007E3FF0">
        <w:rPr>
          <w:b/>
          <w:bCs/>
          <w:i/>
          <w:iCs/>
        </w:rPr>
        <w:t xml:space="preserve"> million</w:t>
      </w:r>
      <w:r>
        <w:rPr>
          <w:b/>
          <w:bCs/>
          <w:i/>
          <w:iCs/>
        </w:rPr>
        <w:t xml:space="preserve"> (GR)</w:t>
      </w:r>
      <w:r w:rsidRPr="007E3FF0">
        <w:rPr>
          <w:b/>
          <w:bCs/>
          <w:i/>
          <w:iCs/>
        </w:rPr>
        <w:t xml:space="preserve"> and $</w:t>
      </w:r>
      <w:r>
        <w:rPr>
          <w:b/>
          <w:bCs/>
          <w:i/>
          <w:iCs/>
        </w:rPr>
        <w:t>1.1</w:t>
      </w:r>
      <w:r w:rsidR="00F0609D">
        <w:rPr>
          <w:b/>
          <w:bCs/>
          <w:i/>
          <w:iCs/>
        </w:rPr>
        <w:t xml:space="preserve"> million</w:t>
      </w:r>
      <w:r w:rsidRPr="007E3FF0">
        <w:rPr>
          <w:b/>
          <w:bCs/>
          <w:i/>
          <w:iCs/>
        </w:rPr>
        <w:t xml:space="preserve"> (Trust Fund) for </w:t>
      </w:r>
      <w:r>
        <w:rPr>
          <w:b/>
          <w:bCs/>
          <w:i/>
          <w:iCs/>
        </w:rPr>
        <w:t>one</w:t>
      </w:r>
      <w:r w:rsidRPr="007E3FF0">
        <w:rPr>
          <w:b/>
          <w:bCs/>
          <w:i/>
          <w:iCs/>
        </w:rPr>
        <w:t xml:space="preserve"> year</w:t>
      </w:r>
      <w:r w:rsidR="00F656C9">
        <w:rPr>
          <w:b/>
          <w:bCs/>
          <w:i/>
          <w:iCs/>
        </w:rPr>
        <w:t xml:space="preserve"> (2027-28)</w:t>
      </w:r>
      <w:r>
        <w:rPr>
          <w:b/>
          <w:bCs/>
          <w:i/>
          <w:iCs/>
        </w:rPr>
        <w:br/>
      </w:r>
    </w:p>
    <w:p w14:paraId="063F1114" w14:textId="77777777" w:rsidR="00B83405" w:rsidRPr="000123B3" w:rsidRDefault="00B83405" w:rsidP="00B83405">
      <w:pPr>
        <w:rPr>
          <w:b/>
          <w:bCs/>
          <w:sz w:val="32"/>
          <w:szCs w:val="32"/>
        </w:rPr>
      </w:pPr>
      <w:r w:rsidRPr="000123B3">
        <w:rPr>
          <w:b/>
          <w:bCs/>
          <w:sz w:val="32"/>
          <w:szCs w:val="32"/>
        </w:rPr>
        <w:t>Tax Administration/Other</w:t>
      </w:r>
    </w:p>
    <w:p w14:paraId="2D8C6066" w14:textId="128747BC" w:rsidR="00C91229" w:rsidRDefault="009848E7" w:rsidP="002514F7">
      <w:pPr>
        <w:rPr>
          <w:b/>
          <w:bCs/>
        </w:rPr>
      </w:pPr>
      <w:r w:rsidRPr="009040C4">
        <w:rPr>
          <w:b/>
          <w:bCs/>
        </w:rPr>
        <w:t>Interest Accrual on Refunds</w:t>
      </w:r>
      <w:r w:rsidR="009040C4">
        <w:rPr>
          <w:b/>
          <w:bCs/>
        </w:rPr>
        <w:t xml:space="preserve"> </w:t>
      </w:r>
      <w:r w:rsidR="00BB028B">
        <w:rPr>
          <w:b/>
          <w:bCs/>
        </w:rPr>
        <w:t xml:space="preserve">– </w:t>
      </w:r>
      <w:r w:rsidR="00BB028B" w:rsidRPr="006B0C7B">
        <w:t xml:space="preserve">This is a very good taxpayer </w:t>
      </w:r>
      <w:r w:rsidR="006B0C7B" w:rsidRPr="006B0C7B">
        <w:t>friendly provision.</w:t>
      </w:r>
      <w:r w:rsidR="006B0C7B">
        <w:t xml:space="preserve"> It requires interest to begin accru</w:t>
      </w:r>
      <w:r w:rsidR="00165D1E">
        <w:t>ing on overpayments of taxes on the 91</w:t>
      </w:r>
      <w:r w:rsidR="0039647B" w:rsidRPr="0039647B">
        <w:rPr>
          <w:vertAlign w:val="superscript"/>
        </w:rPr>
        <w:t>st</w:t>
      </w:r>
      <w:r w:rsidR="0039647B">
        <w:t xml:space="preserve"> day after the refund application was postmarked or electronically submitted.</w:t>
      </w:r>
      <w:r w:rsidR="00693F85">
        <w:t xml:space="preserve"> It also removes </w:t>
      </w:r>
      <w:r w:rsidR="00091A59">
        <w:t xml:space="preserve">the requirement that the application must be </w:t>
      </w:r>
      <w:r w:rsidR="006810E3">
        <w:t>“</w:t>
      </w:r>
      <w:r w:rsidR="00091A59">
        <w:t>complete</w:t>
      </w:r>
      <w:r w:rsidR="006810E3">
        <w:t xml:space="preserve">,” </w:t>
      </w:r>
      <w:r w:rsidR="00726410">
        <w:t>something many taxpayers perceived as a tool used by the Department</w:t>
      </w:r>
      <w:r w:rsidR="00020381">
        <w:t xml:space="preserve"> to delay the </w:t>
      </w:r>
      <w:r w:rsidR="00680E1B">
        <w:t xml:space="preserve">start of </w:t>
      </w:r>
      <w:r w:rsidR="00020381">
        <w:t>interest accruing.</w:t>
      </w:r>
      <w:r w:rsidR="00680E1B" w:rsidRPr="00680E1B">
        <w:t xml:space="preserve"> </w:t>
      </w:r>
      <w:r w:rsidR="00680E1B" w:rsidRPr="00680E1B">
        <w:rPr>
          <w:b/>
          <w:bCs/>
        </w:rPr>
        <w:t>Florida TaxWatch has worked for years to bring fairness to the Department of Revenue</w:t>
      </w:r>
      <w:r w:rsidR="00B1771C">
        <w:rPr>
          <w:b/>
          <w:bCs/>
        </w:rPr>
        <w:t>’s</w:t>
      </w:r>
      <w:r w:rsidR="00680E1B" w:rsidRPr="00680E1B">
        <w:rPr>
          <w:b/>
          <w:bCs/>
        </w:rPr>
        <w:t xml:space="preserve"> process for paying interest on refunds, which makes it difficult for many taxpayers to recover interest.</w:t>
      </w:r>
      <w:r w:rsidR="00EA45F8">
        <w:rPr>
          <w:b/>
          <w:bCs/>
        </w:rPr>
        <w:t xml:space="preserve"> </w:t>
      </w:r>
      <w:r w:rsidR="00245801">
        <w:rPr>
          <w:b/>
          <w:bCs/>
        </w:rPr>
        <w:t>It is likely that the estimate below is understated.</w:t>
      </w:r>
    </w:p>
    <w:p w14:paraId="1D51233C" w14:textId="60E57F3A" w:rsidR="00BC600F" w:rsidRPr="00BC600F" w:rsidRDefault="00BC600F" w:rsidP="00BC600F">
      <w:pPr>
        <w:rPr>
          <w:i/>
          <w:iCs/>
        </w:rPr>
      </w:pPr>
      <w:r w:rsidRPr="009040C4">
        <w:rPr>
          <w:b/>
          <w:bCs/>
          <w:i/>
          <w:iCs/>
        </w:rPr>
        <w:t>Added by Conference.</w:t>
      </w:r>
      <w:r>
        <w:rPr>
          <w:i/>
          <w:iCs/>
        </w:rPr>
        <w:t xml:space="preserve"> Th</w:t>
      </w:r>
      <w:r w:rsidR="00280955">
        <w:rPr>
          <w:i/>
          <w:iCs/>
        </w:rPr>
        <w:t>is</w:t>
      </w:r>
      <w:r>
        <w:rPr>
          <w:i/>
          <w:iCs/>
        </w:rPr>
        <w:t xml:space="preserve"> l</w:t>
      </w:r>
      <w:r w:rsidR="008D2B15">
        <w:rPr>
          <w:i/>
          <w:iCs/>
        </w:rPr>
        <w:t xml:space="preserve">anguage replaced </w:t>
      </w:r>
      <w:r w:rsidR="00280955">
        <w:rPr>
          <w:i/>
          <w:iCs/>
        </w:rPr>
        <w:t xml:space="preserve">very bad </w:t>
      </w:r>
      <w:r w:rsidR="008D2B15">
        <w:rPr>
          <w:i/>
          <w:iCs/>
        </w:rPr>
        <w:t xml:space="preserve">language in the </w:t>
      </w:r>
      <w:r w:rsidR="00280955">
        <w:rPr>
          <w:i/>
          <w:iCs/>
        </w:rPr>
        <w:t xml:space="preserve">Senate bill that </w:t>
      </w:r>
      <w:r w:rsidR="00631D5F">
        <w:rPr>
          <w:i/>
          <w:iCs/>
        </w:rPr>
        <w:t xml:space="preserve">would </w:t>
      </w:r>
      <w:r w:rsidR="004F5FD8">
        <w:rPr>
          <w:i/>
          <w:iCs/>
        </w:rPr>
        <w:t xml:space="preserve">have only allowed interest </w:t>
      </w:r>
      <w:r w:rsidR="00302E99">
        <w:rPr>
          <w:i/>
          <w:iCs/>
        </w:rPr>
        <w:t xml:space="preserve">only </w:t>
      </w:r>
      <w:r w:rsidR="000F1BAC">
        <w:rPr>
          <w:i/>
          <w:iCs/>
        </w:rPr>
        <w:t>if it was requested in the original refund application</w:t>
      </w:r>
      <w:r w:rsidR="00E7000D">
        <w:rPr>
          <w:i/>
          <w:iCs/>
        </w:rPr>
        <w:t xml:space="preserve">, including any </w:t>
      </w:r>
      <w:r w:rsidR="00374F14">
        <w:rPr>
          <w:i/>
          <w:iCs/>
        </w:rPr>
        <w:t xml:space="preserve">currently </w:t>
      </w:r>
      <w:r w:rsidR="00E7000D">
        <w:rPr>
          <w:i/>
          <w:iCs/>
        </w:rPr>
        <w:t>pending claims.</w:t>
      </w:r>
    </w:p>
    <w:p w14:paraId="0CDB5A0A" w14:textId="5802E883" w:rsidR="00BC600F" w:rsidRPr="002D5D36" w:rsidRDefault="00245801" w:rsidP="002514F7">
      <w:pPr>
        <w:rPr>
          <w:b/>
          <w:bCs/>
          <w:i/>
          <w:iCs/>
        </w:rPr>
      </w:pPr>
      <w:r w:rsidRPr="002D5D36">
        <w:rPr>
          <w:b/>
          <w:bCs/>
          <w:i/>
          <w:iCs/>
        </w:rPr>
        <w:t>Increased Interest Payments</w:t>
      </w:r>
      <w:r w:rsidR="009E7A55" w:rsidRPr="002D5D36">
        <w:rPr>
          <w:b/>
          <w:bCs/>
          <w:i/>
          <w:iCs/>
        </w:rPr>
        <w:t xml:space="preserve">:    </w:t>
      </w:r>
      <w:r w:rsidR="00C37435" w:rsidRPr="002D5D36">
        <w:rPr>
          <w:b/>
          <w:bCs/>
          <w:i/>
          <w:iCs/>
        </w:rPr>
        <w:t>$</w:t>
      </w:r>
      <w:r w:rsidR="004A1319">
        <w:rPr>
          <w:b/>
          <w:bCs/>
          <w:i/>
          <w:iCs/>
        </w:rPr>
        <w:t>2.4</w:t>
      </w:r>
      <w:r w:rsidR="00C37435" w:rsidRPr="002D5D36">
        <w:rPr>
          <w:b/>
          <w:bCs/>
          <w:i/>
          <w:iCs/>
        </w:rPr>
        <w:t xml:space="preserve"> million </w:t>
      </w:r>
      <w:r w:rsidR="004A1319">
        <w:rPr>
          <w:b/>
          <w:bCs/>
          <w:i/>
          <w:iCs/>
        </w:rPr>
        <w:t>first year</w:t>
      </w:r>
      <w:r w:rsidR="0043030B">
        <w:rPr>
          <w:b/>
          <w:bCs/>
          <w:i/>
          <w:iCs/>
        </w:rPr>
        <w:t xml:space="preserve">   $9.8 million </w:t>
      </w:r>
      <w:r w:rsidR="00C37435" w:rsidRPr="002D5D36">
        <w:rPr>
          <w:b/>
          <w:bCs/>
          <w:i/>
          <w:iCs/>
        </w:rPr>
        <w:t>recurring</w:t>
      </w:r>
      <w:r w:rsidR="00E70825" w:rsidRPr="002D5D36">
        <w:rPr>
          <w:b/>
          <w:bCs/>
          <w:i/>
          <w:iCs/>
        </w:rPr>
        <w:t>.</w:t>
      </w:r>
    </w:p>
    <w:p w14:paraId="6F9FFA27" w14:textId="67836FE0" w:rsidR="004160AB" w:rsidRPr="009040C4" w:rsidRDefault="004160AB" w:rsidP="0031023A">
      <w:pPr>
        <w:rPr>
          <w:b/>
          <w:bCs/>
        </w:rPr>
      </w:pPr>
    </w:p>
    <w:p w14:paraId="311AC2C3" w14:textId="77777777" w:rsidR="0031023A" w:rsidRDefault="0031023A" w:rsidP="0031023A">
      <w:r w:rsidRPr="006C38B0">
        <w:rPr>
          <w:b/>
          <w:bCs/>
        </w:rPr>
        <w:t>Back-to-School Holiday Dates</w:t>
      </w:r>
      <w:r w:rsidRPr="006C38B0">
        <w:t xml:space="preserve"> - The bill revises the dates of the annual one-month back-to-school sales tax holiday from the month of August to July 20th through August 20th.</w:t>
      </w:r>
    </w:p>
    <w:p w14:paraId="2CB21019" w14:textId="77777777" w:rsidR="002D5D36" w:rsidRPr="00BE10DA" w:rsidRDefault="002D5D36" w:rsidP="002D5D36">
      <w:pPr>
        <w:rPr>
          <w:b/>
          <w:bCs/>
        </w:rPr>
      </w:pPr>
      <w:r w:rsidRPr="00BE10DA">
        <w:rPr>
          <w:b/>
          <w:bCs/>
        </w:rPr>
        <w:t>Recommended by House</w:t>
      </w:r>
      <w:r>
        <w:rPr>
          <w:b/>
          <w:bCs/>
        </w:rPr>
        <w:t>.</w:t>
      </w:r>
    </w:p>
    <w:p w14:paraId="046E16CE" w14:textId="77777777" w:rsidR="000123B3" w:rsidRDefault="000123B3" w:rsidP="00C83164">
      <w:pPr>
        <w:rPr>
          <w:b/>
          <w:bCs/>
        </w:rPr>
      </w:pPr>
    </w:p>
    <w:p w14:paraId="6560E7CE" w14:textId="3867E2A1" w:rsidR="00C83164" w:rsidRPr="007F29F7" w:rsidRDefault="00C83164" w:rsidP="00C83164">
      <w:r w:rsidRPr="007F29F7">
        <w:rPr>
          <w:b/>
          <w:bCs/>
        </w:rPr>
        <w:t xml:space="preserve">Insurance Premium Tax Credits - </w:t>
      </w:r>
      <w:r w:rsidRPr="007F29F7">
        <w:t>The bill amends the order in which Insurance Premium Tax credits are taken against tax liabilities, so that all active tax credit programs are listed in order of their adoption date.</w:t>
      </w:r>
    </w:p>
    <w:p w14:paraId="51A9B98E" w14:textId="374527C2" w:rsidR="00C83164" w:rsidRPr="00BE10DA" w:rsidRDefault="00C83164" w:rsidP="00C83164">
      <w:pPr>
        <w:rPr>
          <w:b/>
          <w:bCs/>
        </w:rPr>
      </w:pPr>
      <w:r w:rsidRPr="00BE10DA">
        <w:rPr>
          <w:b/>
          <w:bCs/>
        </w:rPr>
        <w:t>Recommended by House</w:t>
      </w:r>
      <w:r w:rsidR="002D5D36">
        <w:rPr>
          <w:b/>
          <w:bCs/>
        </w:rPr>
        <w:t>.</w:t>
      </w:r>
    </w:p>
    <w:p w14:paraId="0E5D8804" w14:textId="77777777" w:rsidR="004160AB" w:rsidRPr="00FD6434" w:rsidRDefault="004160AB" w:rsidP="00B04701">
      <w:pPr>
        <w:rPr>
          <w:highlight w:val="green"/>
        </w:rPr>
      </w:pPr>
    </w:p>
    <w:p w14:paraId="707E5F15" w14:textId="6AD7BBB4" w:rsidR="00640DF8" w:rsidRDefault="00B83405" w:rsidP="00FC543E">
      <w:r w:rsidRPr="007D190C">
        <w:rPr>
          <w:b/>
          <w:bCs/>
        </w:rPr>
        <w:t>Property Appraiser and Tax Collector Online Reporting</w:t>
      </w:r>
      <w:r w:rsidR="007D190C">
        <w:rPr>
          <w:b/>
          <w:bCs/>
        </w:rPr>
        <w:t xml:space="preserve"> </w:t>
      </w:r>
      <w:r w:rsidR="00DE6F80">
        <w:rPr>
          <w:b/>
          <w:bCs/>
        </w:rPr>
        <w:t>–</w:t>
      </w:r>
      <w:r w:rsidR="007D190C">
        <w:rPr>
          <w:b/>
          <w:bCs/>
        </w:rPr>
        <w:t xml:space="preserve"> </w:t>
      </w:r>
      <w:r w:rsidR="00DE6F80">
        <w:t xml:space="preserve">Property appraisers and tax collectors </w:t>
      </w:r>
      <w:r w:rsidR="006B315E">
        <w:t>are currently required to pos</w:t>
      </w:r>
      <w:r w:rsidR="00480DD0">
        <w:t>t</w:t>
      </w:r>
      <w:r w:rsidR="006B315E">
        <w:t xml:space="preserve"> their final budget on their website within 30 days of adoption.</w:t>
      </w:r>
      <w:r w:rsidR="00480DD0">
        <w:t xml:space="preserve"> The bill requires them to post </w:t>
      </w:r>
      <w:r w:rsidR="00640DF8">
        <w:t>“a</w:t>
      </w:r>
      <w:r w:rsidR="00480DD0">
        <w:t>ll supporting schedules”</w:t>
      </w:r>
      <w:r w:rsidR="00640DF8">
        <w:t xml:space="preserve"> as well.</w:t>
      </w:r>
      <w:r w:rsidR="00FC543E" w:rsidRPr="00FC543E">
        <w:t xml:space="preserve"> </w:t>
      </w:r>
      <w:r w:rsidR="00FC543E">
        <w:t>These materials provide additional detail</w:t>
      </w:r>
      <w:r w:rsidR="007B3D11">
        <w:t>s</w:t>
      </w:r>
      <w:r w:rsidR="00FC543E">
        <w:t xml:space="preserve"> supporting the amounts contained in the budget request and </w:t>
      </w:r>
      <w:r w:rsidR="00FC543E">
        <w:lastRenderedPageBreak/>
        <w:t>may include expenditure breakdowns, personnel</w:t>
      </w:r>
      <w:r w:rsidR="00E0090B">
        <w:t xml:space="preserve"> </w:t>
      </w:r>
      <w:r w:rsidR="00FC543E">
        <w:t>information, capital outlay requests, calculation methodologies, and narrative explanations for proposed</w:t>
      </w:r>
      <w:r w:rsidR="00E0090B">
        <w:t xml:space="preserve"> </w:t>
      </w:r>
      <w:r w:rsidR="00FC543E">
        <w:t>expenditures.</w:t>
      </w:r>
    </w:p>
    <w:p w14:paraId="16D5BCF1" w14:textId="77777777" w:rsidR="00A677DE" w:rsidRDefault="00A677DE" w:rsidP="00A677DE">
      <w:pPr>
        <w:rPr>
          <w:b/>
          <w:bCs/>
          <w:i/>
          <w:iCs/>
        </w:rPr>
      </w:pPr>
      <w:r w:rsidRPr="009040C4">
        <w:rPr>
          <w:b/>
          <w:bCs/>
          <w:i/>
          <w:iCs/>
        </w:rPr>
        <w:t>Added by Conference</w:t>
      </w:r>
      <w:r>
        <w:rPr>
          <w:b/>
          <w:bCs/>
          <w:i/>
          <w:iCs/>
        </w:rPr>
        <w:t xml:space="preserve">. </w:t>
      </w:r>
    </w:p>
    <w:p w14:paraId="078BBCC6" w14:textId="77777777" w:rsidR="00A677DE" w:rsidRDefault="00A677DE" w:rsidP="00B83405"/>
    <w:p w14:paraId="2390C5A3" w14:textId="2E3386FE" w:rsidR="007E18A5" w:rsidRDefault="001E0893" w:rsidP="00B83405">
      <w:r w:rsidRPr="00A677DE">
        <w:rPr>
          <w:b/>
          <w:bCs/>
        </w:rPr>
        <w:t>Tax Collector Commissions</w:t>
      </w:r>
      <w:r>
        <w:t xml:space="preserve"> –</w:t>
      </w:r>
      <w:r w:rsidR="002E54E1">
        <w:t xml:space="preserve">The </w:t>
      </w:r>
      <w:r>
        <w:t xml:space="preserve">bill allows tax collectors to waive </w:t>
      </w:r>
      <w:r w:rsidR="002E54E1">
        <w:t xml:space="preserve">the </w:t>
      </w:r>
      <w:r w:rsidR="00A677DE">
        <w:t>commission</w:t>
      </w:r>
      <w:r w:rsidR="002E54E1">
        <w:t xml:space="preserve"> they are paid </w:t>
      </w:r>
      <w:r w:rsidR="00BF37CC">
        <w:t>for collecting property taxes</w:t>
      </w:r>
      <w:r w:rsidR="00A677DE">
        <w:t xml:space="preserve"> for voted school millages.</w:t>
      </w:r>
    </w:p>
    <w:p w14:paraId="3A18B3F2" w14:textId="77777777" w:rsidR="00A677DE" w:rsidRDefault="00A677DE" w:rsidP="00A677DE">
      <w:pPr>
        <w:rPr>
          <w:b/>
          <w:bCs/>
          <w:i/>
          <w:iCs/>
        </w:rPr>
      </w:pPr>
      <w:r w:rsidRPr="009040C4">
        <w:rPr>
          <w:b/>
          <w:bCs/>
          <w:i/>
          <w:iCs/>
        </w:rPr>
        <w:t>Added by Conference</w:t>
      </w:r>
      <w:r>
        <w:rPr>
          <w:b/>
          <w:bCs/>
          <w:i/>
          <w:iCs/>
        </w:rPr>
        <w:t xml:space="preserve">. </w:t>
      </w:r>
    </w:p>
    <w:p w14:paraId="66DF90D4" w14:textId="77777777" w:rsidR="00E0463C" w:rsidRDefault="00E0463C" w:rsidP="00A677DE">
      <w:pPr>
        <w:rPr>
          <w:b/>
          <w:bCs/>
          <w:i/>
          <w:iCs/>
        </w:rPr>
      </w:pPr>
    </w:p>
    <w:p w14:paraId="5129CC21" w14:textId="16D787C4" w:rsidR="00B83405" w:rsidRPr="00264ED6" w:rsidRDefault="00B83405" w:rsidP="00B83405">
      <w:r w:rsidRPr="00FD4BDF">
        <w:rPr>
          <w:b/>
          <w:bCs/>
        </w:rPr>
        <w:t>Voted School Millage Ballot Placement and Timing at General Election</w:t>
      </w:r>
      <w:r w:rsidR="00FD4BDF">
        <w:rPr>
          <w:b/>
          <w:bCs/>
        </w:rPr>
        <w:t xml:space="preserve"> </w:t>
      </w:r>
      <w:r w:rsidR="006C49B6">
        <w:rPr>
          <w:b/>
          <w:bCs/>
        </w:rPr>
        <w:t xml:space="preserve">– </w:t>
      </w:r>
      <w:r w:rsidR="006C49B6" w:rsidRPr="00264ED6">
        <w:t xml:space="preserve">The bill requires </w:t>
      </w:r>
      <w:r w:rsidR="004F6455" w:rsidRPr="00264ED6">
        <w:t xml:space="preserve">that </w:t>
      </w:r>
      <w:r w:rsidR="006C49B6" w:rsidRPr="00264ED6">
        <w:t>a measure to adopt a voted school millage</w:t>
      </w:r>
      <w:r w:rsidR="004F6455" w:rsidRPr="00264ED6">
        <w:t xml:space="preserve"> must be placed on the ballot at the next general election </w:t>
      </w:r>
      <w:r w:rsidR="00264ED6" w:rsidRPr="00264ED6">
        <w:t>held more than 90 days after the adoption of the resolution.</w:t>
      </w:r>
    </w:p>
    <w:p w14:paraId="06F29F98" w14:textId="77777777" w:rsidR="00264ED6" w:rsidRDefault="00264ED6" w:rsidP="00264ED6">
      <w:pPr>
        <w:rPr>
          <w:b/>
          <w:bCs/>
          <w:i/>
          <w:iCs/>
        </w:rPr>
      </w:pPr>
      <w:r w:rsidRPr="009040C4">
        <w:rPr>
          <w:b/>
          <w:bCs/>
          <w:i/>
          <w:iCs/>
        </w:rPr>
        <w:t>Added by Conference</w:t>
      </w:r>
      <w:r>
        <w:rPr>
          <w:b/>
          <w:bCs/>
          <w:i/>
          <w:iCs/>
        </w:rPr>
        <w:t xml:space="preserve">. </w:t>
      </w:r>
    </w:p>
    <w:p w14:paraId="65B77AE0" w14:textId="77777777" w:rsidR="001078B7" w:rsidRDefault="001078B7" w:rsidP="00264ED6">
      <w:pPr>
        <w:rPr>
          <w:b/>
          <w:bCs/>
          <w:i/>
          <w:iCs/>
        </w:rPr>
      </w:pPr>
    </w:p>
    <w:p w14:paraId="4B88E2E2" w14:textId="77777777" w:rsidR="00B83405" w:rsidRDefault="00B83405" w:rsidP="00B83405">
      <w:pPr>
        <w:rPr>
          <w:b/>
          <w:bCs/>
          <w:sz w:val="32"/>
          <w:szCs w:val="32"/>
        </w:rPr>
      </w:pPr>
    </w:p>
    <w:tbl>
      <w:tblPr>
        <w:tblW w:w="9460" w:type="dxa"/>
        <w:tblLook w:val="04A0" w:firstRow="1" w:lastRow="0" w:firstColumn="1" w:lastColumn="0" w:noHBand="0" w:noVBand="1"/>
      </w:tblPr>
      <w:tblGrid>
        <w:gridCol w:w="1037"/>
        <w:gridCol w:w="1065"/>
        <w:gridCol w:w="1086"/>
        <w:gridCol w:w="1037"/>
        <w:gridCol w:w="1065"/>
        <w:gridCol w:w="982"/>
        <w:gridCol w:w="1037"/>
        <w:gridCol w:w="1065"/>
        <w:gridCol w:w="1086"/>
      </w:tblGrid>
      <w:tr w:rsidR="00E56C3D" w:rsidRPr="00E56C3D" w14:paraId="1095C6DE" w14:textId="77777777" w:rsidTr="00E56C3D">
        <w:trPr>
          <w:trHeight w:val="420"/>
        </w:trPr>
        <w:tc>
          <w:tcPr>
            <w:tcW w:w="9460" w:type="dxa"/>
            <w:gridSpan w:val="9"/>
            <w:tcBorders>
              <w:top w:val="nil"/>
              <w:left w:val="nil"/>
              <w:bottom w:val="nil"/>
              <w:right w:val="nil"/>
            </w:tcBorders>
            <w:noWrap/>
            <w:vAlign w:val="bottom"/>
            <w:hideMark/>
          </w:tcPr>
          <w:p w14:paraId="77A503F5" w14:textId="77777777" w:rsidR="00E56C3D" w:rsidRPr="00E56C3D" w:rsidRDefault="00E56C3D" w:rsidP="00E56C3D">
            <w:pPr>
              <w:spacing w:after="0" w:line="240" w:lineRule="auto"/>
              <w:jc w:val="center"/>
              <w:rPr>
                <w:rFonts w:ascii="Aptos Narrow" w:eastAsia="Times New Roman" w:hAnsi="Aptos Narrow" w:cs="Times New Roman"/>
                <w:b/>
                <w:bCs/>
                <w:color w:val="000000"/>
                <w:kern w:val="0"/>
                <w:sz w:val="32"/>
                <w:szCs w:val="32"/>
                <w14:ligatures w14:val="none"/>
              </w:rPr>
            </w:pPr>
            <w:r w:rsidRPr="00E56C3D">
              <w:rPr>
                <w:rFonts w:ascii="Aptos Narrow" w:eastAsia="Times New Roman" w:hAnsi="Aptos Narrow" w:cs="Times New Roman"/>
                <w:b/>
                <w:bCs/>
                <w:color w:val="000000"/>
                <w:kern w:val="0"/>
                <w:sz w:val="32"/>
                <w:szCs w:val="32"/>
                <w14:ligatures w14:val="none"/>
              </w:rPr>
              <w:t>Total Tax Savings - HB 7031E</w:t>
            </w:r>
          </w:p>
        </w:tc>
      </w:tr>
      <w:tr w:rsidR="00E56C3D" w:rsidRPr="00E56C3D" w14:paraId="552AE07E" w14:textId="77777777" w:rsidTr="00E56C3D">
        <w:trPr>
          <w:trHeight w:val="312"/>
        </w:trPr>
        <w:tc>
          <w:tcPr>
            <w:tcW w:w="3188" w:type="dxa"/>
            <w:gridSpan w:val="3"/>
            <w:tcBorders>
              <w:top w:val="nil"/>
              <w:left w:val="nil"/>
              <w:bottom w:val="nil"/>
              <w:right w:val="nil"/>
            </w:tcBorders>
            <w:noWrap/>
            <w:vAlign w:val="bottom"/>
            <w:hideMark/>
          </w:tcPr>
          <w:p w14:paraId="5CFAE5AC" w14:textId="77777777" w:rsidR="00E56C3D" w:rsidRPr="00E56C3D" w:rsidRDefault="00E56C3D" w:rsidP="00E56C3D">
            <w:pPr>
              <w:spacing w:after="0" w:line="240" w:lineRule="auto"/>
              <w:jc w:val="center"/>
              <w:rPr>
                <w:rFonts w:ascii="Aptos Narrow" w:eastAsia="Times New Roman" w:hAnsi="Aptos Narrow" w:cs="Times New Roman"/>
                <w:b/>
                <w:bCs/>
                <w:color w:val="000000"/>
                <w:kern w:val="0"/>
                <w14:ligatures w14:val="none"/>
              </w:rPr>
            </w:pPr>
            <w:r w:rsidRPr="00E56C3D">
              <w:rPr>
                <w:rFonts w:ascii="Aptos Narrow" w:eastAsia="Times New Roman" w:hAnsi="Aptos Narrow" w:cs="Times New Roman"/>
                <w:b/>
                <w:bCs/>
                <w:color w:val="000000"/>
                <w:kern w:val="0"/>
                <w14:ligatures w14:val="none"/>
              </w:rPr>
              <w:t>Total Year 1 Impact</w:t>
            </w:r>
          </w:p>
        </w:tc>
        <w:tc>
          <w:tcPr>
            <w:tcW w:w="1037" w:type="dxa"/>
            <w:tcBorders>
              <w:top w:val="nil"/>
              <w:left w:val="nil"/>
              <w:bottom w:val="nil"/>
              <w:right w:val="nil"/>
            </w:tcBorders>
            <w:noWrap/>
            <w:vAlign w:val="bottom"/>
            <w:hideMark/>
          </w:tcPr>
          <w:p w14:paraId="2049EC13" w14:textId="77777777" w:rsidR="00E56C3D" w:rsidRPr="00E56C3D" w:rsidRDefault="00E56C3D" w:rsidP="00E56C3D">
            <w:pPr>
              <w:spacing w:after="0" w:line="240" w:lineRule="auto"/>
              <w:jc w:val="center"/>
              <w:rPr>
                <w:rFonts w:ascii="Aptos Narrow" w:eastAsia="Times New Roman" w:hAnsi="Aptos Narrow" w:cs="Times New Roman"/>
                <w:b/>
                <w:bCs/>
                <w:color w:val="000000"/>
                <w:kern w:val="0"/>
                <w14:ligatures w14:val="none"/>
              </w:rPr>
            </w:pPr>
          </w:p>
        </w:tc>
        <w:tc>
          <w:tcPr>
            <w:tcW w:w="1065" w:type="dxa"/>
            <w:tcBorders>
              <w:top w:val="nil"/>
              <w:left w:val="nil"/>
              <w:bottom w:val="nil"/>
              <w:right w:val="nil"/>
            </w:tcBorders>
            <w:noWrap/>
            <w:vAlign w:val="bottom"/>
            <w:hideMark/>
          </w:tcPr>
          <w:p w14:paraId="4EF260A7" w14:textId="77777777" w:rsidR="00E56C3D" w:rsidRPr="00E56C3D" w:rsidRDefault="00E56C3D" w:rsidP="00E56C3D">
            <w:pPr>
              <w:spacing w:after="0" w:line="240" w:lineRule="auto"/>
              <w:rPr>
                <w:rFonts w:ascii="Times New Roman" w:eastAsia="Times New Roman" w:hAnsi="Times New Roman" w:cs="Times New Roman"/>
                <w:kern w:val="0"/>
                <w:sz w:val="20"/>
                <w:szCs w:val="20"/>
                <w14:ligatures w14:val="none"/>
              </w:rPr>
            </w:pPr>
          </w:p>
        </w:tc>
        <w:tc>
          <w:tcPr>
            <w:tcW w:w="982" w:type="dxa"/>
            <w:tcBorders>
              <w:top w:val="nil"/>
              <w:left w:val="nil"/>
              <w:bottom w:val="nil"/>
              <w:right w:val="nil"/>
            </w:tcBorders>
            <w:noWrap/>
            <w:vAlign w:val="bottom"/>
            <w:hideMark/>
          </w:tcPr>
          <w:p w14:paraId="4372D902" w14:textId="77777777" w:rsidR="00E56C3D" w:rsidRPr="00E56C3D" w:rsidRDefault="00E56C3D" w:rsidP="00E56C3D">
            <w:pPr>
              <w:spacing w:after="0" w:line="240" w:lineRule="auto"/>
              <w:rPr>
                <w:rFonts w:ascii="Times New Roman" w:eastAsia="Times New Roman" w:hAnsi="Times New Roman" w:cs="Times New Roman"/>
                <w:kern w:val="0"/>
                <w:sz w:val="20"/>
                <w:szCs w:val="20"/>
                <w14:ligatures w14:val="none"/>
              </w:rPr>
            </w:pPr>
          </w:p>
        </w:tc>
        <w:tc>
          <w:tcPr>
            <w:tcW w:w="1037" w:type="dxa"/>
            <w:tcBorders>
              <w:top w:val="nil"/>
              <w:left w:val="nil"/>
              <w:bottom w:val="nil"/>
              <w:right w:val="nil"/>
            </w:tcBorders>
            <w:noWrap/>
            <w:vAlign w:val="bottom"/>
            <w:hideMark/>
          </w:tcPr>
          <w:p w14:paraId="27FC029C" w14:textId="77777777" w:rsidR="00E56C3D" w:rsidRPr="00E56C3D" w:rsidRDefault="00E56C3D" w:rsidP="00E56C3D">
            <w:pPr>
              <w:spacing w:after="0" w:line="240" w:lineRule="auto"/>
              <w:rPr>
                <w:rFonts w:ascii="Times New Roman" w:eastAsia="Times New Roman" w:hAnsi="Times New Roman" w:cs="Times New Roman"/>
                <w:kern w:val="0"/>
                <w:sz w:val="20"/>
                <w:szCs w:val="20"/>
                <w14:ligatures w14:val="none"/>
              </w:rPr>
            </w:pPr>
          </w:p>
        </w:tc>
        <w:tc>
          <w:tcPr>
            <w:tcW w:w="1065" w:type="dxa"/>
            <w:tcBorders>
              <w:top w:val="nil"/>
              <w:left w:val="nil"/>
              <w:bottom w:val="nil"/>
              <w:right w:val="nil"/>
            </w:tcBorders>
            <w:noWrap/>
            <w:vAlign w:val="bottom"/>
            <w:hideMark/>
          </w:tcPr>
          <w:p w14:paraId="09FCEF32" w14:textId="77777777" w:rsidR="00E56C3D" w:rsidRPr="00E56C3D" w:rsidRDefault="00E56C3D" w:rsidP="00E56C3D">
            <w:pPr>
              <w:spacing w:after="0" w:line="240" w:lineRule="auto"/>
              <w:rPr>
                <w:rFonts w:ascii="Times New Roman" w:eastAsia="Times New Roman" w:hAnsi="Times New Roman" w:cs="Times New Roman"/>
                <w:kern w:val="0"/>
                <w:sz w:val="20"/>
                <w:szCs w:val="20"/>
                <w14:ligatures w14:val="none"/>
              </w:rPr>
            </w:pPr>
          </w:p>
        </w:tc>
        <w:tc>
          <w:tcPr>
            <w:tcW w:w="1086" w:type="dxa"/>
            <w:tcBorders>
              <w:top w:val="nil"/>
              <w:left w:val="nil"/>
              <w:bottom w:val="nil"/>
              <w:right w:val="nil"/>
            </w:tcBorders>
            <w:noWrap/>
            <w:vAlign w:val="bottom"/>
            <w:hideMark/>
          </w:tcPr>
          <w:p w14:paraId="47710072" w14:textId="77777777" w:rsidR="00E56C3D" w:rsidRPr="00E56C3D" w:rsidRDefault="00E56C3D" w:rsidP="00E56C3D">
            <w:pPr>
              <w:spacing w:after="0" w:line="240" w:lineRule="auto"/>
              <w:rPr>
                <w:rFonts w:ascii="Times New Roman" w:eastAsia="Times New Roman" w:hAnsi="Times New Roman" w:cs="Times New Roman"/>
                <w:kern w:val="0"/>
                <w:sz w:val="20"/>
                <w:szCs w:val="20"/>
                <w14:ligatures w14:val="none"/>
              </w:rPr>
            </w:pPr>
          </w:p>
        </w:tc>
      </w:tr>
      <w:tr w:rsidR="00E56C3D" w:rsidRPr="00E56C3D" w14:paraId="757F0E12" w14:textId="77777777" w:rsidTr="00E56C3D">
        <w:trPr>
          <w:trHeight w:val="312"/>
        </w:trPr>
        <w:tc>
          <w:tcPr>
            <w:tcW w:w="3188" w:type="dxa"/>
            <w:gridSpan w:val="3"/>
            <w:tcBorders>
              <w:top w:val="nil"/>
              <w:left w:val="nil"/>
              <w:bottom w:val="nil"/>
              <w:right w:val="nil"/>
            </w:tcBorders>
            <w:noWrap/>
            <w:vAlign w:val="bottom"/>
            <w:hideMark/>
          </w:tcPr>
          <w:p w14:paraId="68F31BC3" w14:textId="77777777" w:rsidR="00E56C3D" w:rsidRPr="00E56C3D" w:rsidRDefault="00E56C3D" w:rsidP="00E56C3D">
            <w:pPr>
              <w:spacing w:after="0" w:line="240" w:lineRule="auto"/>
              <w:jc w:val="center"/>
              <w:rPr>
                <w:rFonts w:ascii="Aptos Narrow" w:eastAsia="Times New Roman" w:hAnsi="Aptos Narrow" w:cs="Times New Roman"/>
                <w:b/>
                <w:bCs/>
                <w:color w:val="000000"/>
                <w:kern w:val="0"/>
                <w14:ligatures w14:val="none"/>
              </w:rPr>
            </w:pPr>
            <w:r w:rsidRPr="00E56C3D">
              <w:rPr>
                <w:rFonts w:ascii="Aptos Narrow" w:eastAsia="Times New Roman" w:hAnsi="Aptos Narrow" w:cs="Times New Roman"/>
                <w:b/>
                <w:bCs/>
                <w:color w:val="000000"/>
                <w:kern w:val="0"/>
                <w14:ligatures w14:val="none"/>
              </w:rPr>
              <w:t>Recurring &amp; Nonrecurring</w:t>
            </w:r>
          </w:p>
        </w:tc>
        <w:tc>
          <w:tcPr>
            <w:tcW w:w="3084" w:type="dxa"/>
            <w:gridSpan w:val="3"/>
            <w:tcBorders>
              <w:top w:val="nil"/>
              <w:left w:val="nil"/>
              <w:bottom w:val="nil"/>
              <w:right w:val="nil"/>
            </w:tcBorders>
            <w:noWrap/>
            <w:vAlign w:val="bottom"/>
            <w:hideMark/>
          </w:tcPr>
          <w:p w14:paraId="517CE773" w14:textId="77777777" w:rsidR="00E56C3D" w:rsidRPr="00E56C3D" w:rsidRDefault="00E56C3D" w:rsidP="00E56C3D">
            <w:pPr>
              <w:spacing w:after="0" w:line="240" w:lineRule="auto"/>
              <w:jc w:val="center"/>
              <w:rPr>
                <w:rFonts w:ascii="Aptos Narrow" w:eastAsia="Times New Roman" w:hAnsi="Aptos Narrow" w:cs="Times New Roman"/>
                <w:b/>
                <w:bCs/>
                <w:color w:val="000000"/>
                <w:kern w:val="0"/>
                <w14:ligatures w14:val="none"/>
              </w:rPr>
            </w:pPr>
            <w:r w:rsidRPr="00E56C3D">
              <w:rPr>
                <w:rFonts w:ascii="Aptos Narrow" w:eastAsia="Times New Roman" w:hAnsi="Aptos Narrow" w:cs="Times New Roman"/>
                <w:b/>
                <w:bCs/>
                <w:color w:val="000000"/>
                <w:kern w:val="0"/>
                <w14:ligatures w14:val="none"/>
              </w:rPr>
              <w:t xml:space="preserve">Additional </w:t>
            </w:r>
            <w:proofErr w:type="gramStart"/>
            <w:r w:rsidRPr="00E56C3D">
              <w:rPr>
                <w:rFonts w:ascii="Aptos Narrow" w:eastAsia="Times New Roman" w:hAnsi="Aptos Narrow" w:cs="Times New Roman"/>
                <w:b/>
                <w:bCs/>
                <w:color w:val="000000"/>
                <w:kern w:val="0"/>
                <w14:ligatures w14:val="none"/>
              </w:rPr>
              <w:t>Non-Recurring</w:t>
            </w:r>
            <w:proofErr w:type="gramEnd"/>
          </w:p>
        </w:tc>
        <w:tc>
          <w:tcPr>
            <w:tcW w:w="3188" w:type="dxa"/>
            <w:gridSpan w:val="3"/>
            <w:tcBorders>
              <w:top w:val="nil"/>
              <w:left w:val="nil"/>
              <w:bottom w:val="nil"/>
              <w:right w:val="nil"/>
            </w:tcBorders>
            <w:noWrap/>
            <w:vAlign w:val="bottom"/>
            <w:hideMark/>
          </w:tcPr>
          <w:p w14:paraId="3FC7F7ED" w14:textId="77777777" w:rsidR="00E56C3D" w:rsidRPr="00E56C3D" w:rsidRDefault="00E56C3D" w:rsidP="00E56C3D">
            <w:pPr>
              <w:spacing w:after="0" w:line="240" w:lineRule="auto"/>
              <w:jc w:val="center"/>
              <w:rPr>
                <w:rFonts w:ascii="Aptos Narrow" w:eastAsia="Times New Roman" w:hAnsi="Aptos Narrow" w:cs="Times New Roman"/>
                <w:b/>
                <w:bCs/>
                <w:color w:val="000000"/>
                <w:kern w:val="0"/>
                <w14:ligatures w14:val="none"/>
              </w:rPr>
            </w:pPr>
            <w:r w:rsidRPr="00E56C3D">
              <w:rPr>
                <w:rFonts w:ascii="Aptos Narrow" w:eastAsia="Times New Roman" w:hAnsi="Aptos Narrow" w:cs="Times New Roman"/>
                <w:b/>
                <w:bCs/>
                <w:color w:val="000000"/>
                <w:kern w:val="0"/>
                <w14:ligatures w14:val="none"/>
              </w:rPr>
              <w:t>Recurring</w:t>
            </w:r>
          </w:p>
        </w:tc>
      </w:tr>
      <w:tr w:rsidR="00E56C3D" w:rsidRPr="00E56C3D" w14:paraId="734CA805" w14:textId="77777777" w:rsidTr="00E56C3D">
        <w:trPr>
          <w:trHeight w:val="288"/>
        </w:trPr>
        <w:tc>
          <w:tcPr>
            <w:tcW w:w="3188" w:type="dxa"/>
            <w:gridSpan w:val="3"/>
            <w:tcBorders>
              <w:top w:val="nil"/>
              <w:left w:val="nil"/>
              <w:bottom w:val="nil"/>
              <w:right w:val="nil"/>
            </w:tcBorders>
            <w:noWrap/>
            <w:vAlign w:val="bottom"/>
            <w:hideMark/>
          </w:tcPr>
          <w:p w14:paraId="264BB39D" w14:textId="77777777" w:rsidR="00E56C3D" w:rsidRPr="00E56C3D" w:rsidRDefault="00E56C3D" w:rsidP="00E56C3D">
            <w:pPr>
              <w:spacing w:after="0" w:line="240" w:lineRule="auto"/>
              <w:jc w:val="center"/>
              <w:rPr>
                <w:rFonts w:ascii="Aptos Narrow" w:eastAsia="Times New Roman" w:hAnsi="Aptos Narrow" w:cs="Times New Roman"/>
                <w:color w:val="000000"/>
                <w:kern w:val="0"/>
                <w:sz w:val="22"/>
                <w:szCs w:val="22"/>
                <w14:ligatures w14:val="none"/>
              </w:rPr>
            </w:pPr>
            <w:r w:rsidRPr="00E56C3D">
              <w:rPr>
                <w:rFonts w:ascii="Aptos Narrow" w:eastAsia="Times New Roman" w:hAnsi="Aptos Narrow" w:cs="Times New Roman"/>
                <w:color w:val="000000"/>
                <w:kern w:val="0"/>
                <w:sz w:val="22"/>
                <w:szCs w:val="22"/>
                <w14:ligatures w14:val="none"/>
              </w:rPr>
              <w:t>2026-27</w:t>
            </w:r>
          </w:p>
        </w:tc>
        <w:tc>
          <w:tcPr>
            <w:tcW w:w="3084" w:type="dxa"/>
            <w:gridSpan w:val="3"/>
            <w:tcBorders>
              <w:top w:val="nil"/>
              <w:left w:val="nil"/>
              <w:bottom w:val="nil"/>
              <w:right w:val="nil"/>
            </w:tcBorders>
            <w:noWrap/>
            <w:vAlign w:val="bottom"/>
            <w:hideMark/>
          </w:tcPr>
          <w:p w14:paraId="4136573E" w14:textId="77777777" w:rsidR="00E56C3D" w:rsidRPr="00E56C3D" w:rsidRDefault="00E56C3D" w:rsidP="00E56C3D">
            <w:pPr>
              <w:spacing w:after="0" w:line="240" w:lineRule="auto"/>
              <w:jc w:val="center"/>
              <w:rPr>
                <w:rFonts w:ascii="Aptos Narrow" w:eastAsia="Times New Roman" w:hAnsi="Aptos Narrow" w:cs="Times New Roman"/>
                <w:color w:val="000000"/>
                <w:kern w:val="0"/>
                <w:sz w:val="22"/>
                <w:szCs w:val="22"/>
                <w14:ligatures w14:val="none"/>
              </w:rPr>
            </w:pPr>
            <w:r w:rsidRPr="00E56C3D">
              <w:rPr>
                <w:rFonts w:ascii="Aptos Narrow" w:eastAsia="Times New Roman" w:hAnsi="Aptos Narrow" w:cs="Times New Roman"/>
                <w:color w:val="000000"/>
                <w:kern w:val="0"/>
                <w:sz w:val="22"/>
                <w:szCs w:val="22"/>
                <w14:ligatures w14:val="none"/>
              </w:rPr>
              <w:t>2027-28 and 2028-29</w:t>
            </w:r>
          </w:p>
        </w:tc>
        <w:tc>
          <w:tcPr>
            <w:tcW w:w="3188" w:type="dxa"/>
            <w:gridSpan w:val="3"/>
            <w:tcBorders>
              <w:top w:val="nil"/>
              <w:left w:val="nil"/>
              <w:bottom w:val="nil"/>
              <w:right w:val="nil"/>
            </w:tcBorders>
            <w:noWrap/>
            <w:vAlign w:val="bottom"/>
            <w:hideMark/>
          </w:tcPr>
          <w:p w14:paraId="5CBDAAC1" w14:textId="77777777" w:rsidR="00E56C3D" w:rsidRPr="00E56C3D" w:rsidRDefault="00E56C3D" w:rsidP="00E56C3D">
            <w:pPr>
              <w:spacing w:after="0" w:line="240" w:lineRule="auto"/>
              <w:jc w:val="center"/>
              <w:rPr>
                <w:rFonts w:ascii="Aptos Narrow" w:eastAsia="Times New Roman" w:hAnsi="Aptos Narrow" w:cs="Times New Roman"/>
                <w:color w:val="000000"/>
                <w:kern w:val="0"/>
                <w:sz w:val="22"/>
                <w:szCs w:val="22"/>
                <w14:ligatures w14:val="none"/>
              </w:rPr>
            </w:pPr>
            <w:r w:rsidRPr="00E56C3D">
              <w:rPr>
                <w:rFonts w:ascii="Aptos Narrow" w:eastAsia="Times New Roman" w:hAnsi="Aptos Narrow" w:cs="Times New Roman"/>
                <w:color w:val="000000"/>
                <w:kern w:val="0"/>
                <w:sz w:val="22"/>
                <w:szCs w:val="22"/>
                <w14:ligatures w14:val="none"/>
              </w:rPr>
              <w:t>Annual After 2028-29</w:t>
            </w:r>
          </w:p>
        </w:tc>
      </w:tr>
      <w:tr w:rsidR="00E56C3D" w:rsidRPr="00E56C3D" w14:paraId="21AFC473" w14:textId="77777777" w:rsidTr="00E56C3D">
        <w:trPr>
          <w:trHeight w:val="288"/>
        </w:trPr>
        <w:tc>
          <w:tcPr>
            <w:tcW w:w="1037" w:type="dxa"/>
            <w:tcBorders>
              <w:top w:val="nil"/>
              <w:left w:val="nil"/>
              <w:bottom w:val="nil"/>
              <w:right w:val="nil"/>
            </w:tcBorders>
            <w:noWrap/>
            <w:vAlign w:val="bottom"/>
            <w:hideMark/>
          </w:tcPr>
          <w:p w14:paraId="5ED6B5F6" w14:textId="77777777" w:rsidR="00E56C3D" w:rsidRPr="00E56C3D" w:rsidRDefault="00E56C3D" w:rsidP="00E56C3D">
            <w:pPr>
              <w:spacing w:after="0" w:line="240" w:lineRule="auto"/>
              <w:jc w:val="center"/>
              <w:rPr>
                <w:rFonts w:ascii="Aptos Narrow" w:eastAsia="Times New Roman" w:hAnsi="Aptos Narrow" w:cs="Times New Roman"/>
                <w:color w:val="000000"/>
                <w:kern w:val="0"/>
                <w:sz w:val="22"/>
                <w:szCs w:val="22"/>
                <w14:ligatures w14:val="none"/>
              </w:rPr>
            </w:pPr>
          </w:p>
        </w:tc>
        <w:tc>
          <w:tcPr>
            <w:tcW w:w="1065" w:type="dxa"/>
            <w:tcBorders>
              <w:top w:val="nil"/>
              <w:left w:val="nil"/>
              <w:bottom w:val="nil"/>
              <w:right w:val="nil"/>
            </w:tcBorders>
            <w:noWrap/>
            <w:vAlign w:val="bottom"/>
            <w:hideMark/>
          </w:tcPr>
          <w:p w14:paraId="6E0F78CE" w14:textId="77777777" w:rsidR="00E56C3D" w:rsidRPr="00E56C3D" w:rsidRDefault="00E56C3D" w:rsidP="00E56C3D">
            <w:pPr>
              <w:spacing w:after="0" w:line="240" w:lineRule="auto"/>
              <w:rPr>
                <w:rFonts w:ascii="Times New Roman" w:eastAsia="Times New Roman" w:hAnsi="Times New Roman" w:cs="Times New Roman"/>
                <w:kern w:val="0"/>
                <w:sz w:val="20"/>
                <w:szCs w:val="20"/>
                <w14:ligatures w14:val="none"/>
              </w:rPr>
            </w:pPr>
          </w:p>
        </w:tc>
        <w:tc>
          <w:tcPr>
            <w:tcW w:w="1086" w:type="dxa"/>
            <w:tcBorders>
              <w:top w:val="nil"/>
              <w:left w:val="nil"/>
              <w:bottom w:val="nil"/>
              <w:right w:val="nil"/>
            </w:tcBorders>
            <w:noWrap/>
            <w:vAlign w:val="bottom"/>
            <w:hideMark/>
          </w:tcPr>
          <w:p w14:paraId="629A59E4" w14:textId="77777777" w:rsidR="00E56C3D" w:rsidRPr="00E56C3D" w:rsidRDefault="00E56C3D" w:rsidP="00E56C3D">
            <w:pPr>
              <w:spacing w:after="0" w:line="240" w:lineRule="auto"/>
              <w:rPr>
                <w:rFonts w:ascii="Times New Roman" w:eastAsia="Times New Roman" w:hAnsi="Times New Roman" w:cs="Times New Roman"/>
                <w:kern w:val="0"/>
                <w:sz w:val="20"/>
                <w:szCs w:val="20"/>
                <w14:ligatures w14:val="none"/>
              </w:rPr>
            </w:pPr>
          </w:p>
        </w:tc>
        <w:tc>
          <w:tcPr>
            <w:tcW w:w="1037" w:type="dxa"/>
            <w:tcBorders>
              <w:top w:val="nil"/>
              <w:left w:val="nil"/>
              <w:bottom w:val="nil"/>
              <w:right w:val="nil"/>
            </w:tcBorders>
            <w:noWrap/>
            <w:vAlign w:val="bottom"/>
            <w:hideMark/>
          </w:tcPr>
          <w:p w14:paraId="56775EC3" w14:textId="77777777" w:rsidR="00E56C3D" w:rsidRPr="00E56C3D" w:rsidRDefault="00E56C3D" w:rsidP="00E56C3D">
            <w:pPr>
              <w:spacing w:after="0" w:line="240" w:lineRule="auto"/>
              <w:rPr>
                <w:rFonts w:ascii="Times New Roman" w:eastAsia="Times New Roman" w:hAnsi="Times New Roman" w:cs="Times New Roman"/>
                <w:kern w:val="0"/>
                <w:sz w:val="20"/>
                <w:szCs w:val="20"/>
                <w14:ligatures w14:val="none"/>
              </w:rPr>
            </w:pPr>
          </w:p>
        </w:tc>
        <w:tc>
          <w:tcPr>
            <w:tcW w:w="1065" w:type="dxa"/>
            <w:tcBorders>
              <w:top w:val="nil"/>
              <w:left w:val="nil"/>
              <w:bottom w:val="nil"/>
              <w:right w:val="nil"/>
            </w:tcBorders>
            <w:noWrap/>
            <w:vAlign w:val="bottom"/>
            <w:hideMark/>
          </w:tcPr>
          <w:p w14:paraId="3C7B3E00" w14:textId="77777777" w:rsidR="00E56C3D" w:rsidRPr="00E56C3D" w:rsidRDefault="00E56C3D" w:rsidP="00E56C3D">
            <w:pPr>
              <w:spacing w:after="0" w:line="240" w:lineRule="auto"/>
              <w:rPr>
                <w:rFonts w:ascii="Times New Roman" w:eastAsia="Times New Roman" w:hAnsi="Times New Roman" w:cs="Times New Roman"/>
                <w:kern w:val="0"/>
                <w:sz w:val="20"/>
                <w:szCs w:val="20"/>
                <w14:ligatures w14:val="none"/>
              </w:rPr>
            </w:pPr>
          </w:p>
        </w:tc>
        <w:tc>
          <w:tcPr>
            <w:tcW w:w="982" w:type="dxa"/>
            <w:tcBorders>
              <w:top w:val="nil"/>
              <w:left w:val="nil"/>
              <w:bottom w:val="nil"/>
              <w:right w:val="nil"/>
            </w:tcBorders>
            <w:noWrap/>
            <w:vAlign w:val="bottom"/>
            <w:hideMark/>
          </w:tcPr>
          <w:p w14:paraId="5F0653B3" w14:textId="77777777" w:rsidR="00E56C3D" w:rsidRPr="00E56C3D" w:rsidRDefault="00E56C3D" w:rsidP="00E56C3D">
            <w:pPr>
              <w:spacing w:after="0" w:line="240" w:lineRule="auto"/>
              <w:rPr>
                <w:rFonts w:ascii="Times New Roman" w:eastAsia="Times New Roman" w:hAnsi="Times New Roman" w:cs="Times New Roman"/>
                <w:kern w:val="0"/>
                <w:sz w:val="20"/>
                <w:szCs w:val="20"/>
                <w14:ligatures w14:val="none"/>
              </w:rPr>
            </w:pPr>
          </w:p>
        </w:tc>
        <w:tc>
          <w:tcPr>
            <w:tcW w:w="1037" w:type="dxa"/>
            <w:tcBorders>
              <w:top w:val="nil"/>
              <w:left w:val="nil"/>
              <w:bottom w:val="nil"/>
              <w:right w:val="nil"/>
            </w:tcBorders>
            <w:noWrap/>
            <w:vAlign w:val="bottom"/>
            <w:hideMark/>
          </w:tcPr>
          <w:p w14:paraId="10C5E1BB" w14:textId="77777777" w:rsidR="00E56C3D" w:rsidRPr="00E56C3D" w:rsidRDefault="00E56C3D" w:rsidP="00E56C3D">
            <w:pPr>
              <w:spacing w:after="0" w:line="240" w:lineRule="auto"/>
              <w:rPr>
                <w:rFonts w:ascii="Times New Roman" w:eastAsia="Times New Roman" w:hAnsi="Times New Roman" w:cs="Times New Roman"/>
                <w:kern w:val="0"/>
                <w:sz w:val="20"/>
                <w:szCs w:val="20"/>
                <w14:ligatures w14:val="none"/>
              </w:rPr>
            </w:pPr>
          </w:p>
        </w:tc>
        <w:tc>
          <w:tcPr>
            <w:tcW w:w="1065" w:type="dxa"/>
            <w:tcBorders>
              <w:top w:val="nil"/>
              <w:left w:val="nil"/>
              <w:bottom w:val="nil"/>
              <w:right w:val="nil"/>
            </w:tcBorders>
            <w:noWrap/>
            <w:vAlign w:val="bottom"/>
            <w:hideMark/>
          </w:tcPr>
          <w:p w14:paraId="12718566" w14:textId="77777777" w:rsidR="00E56C3D" w:rsidRPr="00E56C3D" w:rsidRDefault="00E56C3D" w:rsidP="00E56C3D">
            <w:pPr>
              <w:spacing w:after="0" w:line="240" w:lineRule="auto"/>
              <w:rPr>
                <w:rFonts w:ascii="Times New Roman" w:eastAsia="Times New Roman" w:hAnsi="Times New Roman" w:cs="Times New Roman"/>
                <w:kern w:val="0"/>
                <w:sz w:val="20"/>
                <w:szCs w:val="20"/>
                <w14:ligatures w14:val="none"/>
              </w:rPr>
            </w:pPr>
          </w:p>
        </w:tc>
        <w:tc>
          <w:tcPr>
            <w:tcW w:w="1086" w:type="dxa"/>
            <w:tcBorders>
              <w:top w:val="nil"/>
              <w:left w:val="nil"/>
              <w:bottom w:val="nil"/>
              <w:right w:val="nil"/>
            </w:tcBorders>
            <w:noWrap/>
            <w:vAlign w:val="bottom"/>
            <w:hideMark/>
          </w:tcPr>
          <w:p w14:paraId="281751F4" w14:textId="77777777" w:rsidR="00E56C3D" w:rsidRPr="00E56C3D" w:rsidRDefault="00E56C3D" w:rsidP="00E56C3D">
            <w:pPr>
              <w:spacing w:after="0" w:line="240" w:lineRule="auto"/>
              <w:rPr>
                <w:rFonts w:ascii="Times New Roman" w:eastAsia="Times New Roman" w:hAnsi="Times New Roman" w:cs="Times New Roman"/>
                <w:kern w:val="0"/>
                <w:sz w:val="20"/>
                <w:szCs w:val="20"/>
                <w14:ligatures w14:val="none"/>
              </w:rPr>
            </w:pPr>
          </w:p>
        </w:tc>
      </w:tr>
      <w:tr w:rsidR="00E56C3D" w:rsidRPr="00E56C3D" w14:paraId="640ECEFD" w14:textId="77777777" w:rsidTr="00E56C3D">
        <w:trPr>
          <w:trHeight w:val="288"/>
        </w:trPr>
        <w:tc>
          <w:tcPr>
            <w:tcW w:w="1037" w:type="dxa"/>
            <w:tcBorders>
              <w:top w:val="nil"/>
              <w:left w:val="nil"/>
              <w:bottom w:val="nil"/>
              <w:right w:val="nil"/>
            </w:tcBorders>
            <w:noWrap/>
            <w:vAlign w:val="bottom"/>
            <w:hideMark/>
          </w:tcPr>
          <w:p w14:paraId="6F103C34" w14:textId="77777777" w:rsidR="00E56C3D" w:rsidRPr="00E56C3D" w:rsidRDefault="00E56C3D" w:rsidP="00E56C3D">
            <w:pPr>
              <w:spacing w:after="0" w:line="240" w:lineRule="auto"/>
              <w:jc w:val="center"/>
              <w:rPr>
                <w:rFonts w:ascii="Aptos Narrow" w:eastAsia="Times New Roman" w:hAnsi="Aptos Narrow" w:cs="Times New Roman"/>
                <w:b/>
                <w:bCs/>
                <w:color w:val="000000"/>
                <w:kern w:val="0"/>
                <w:sz w:val="22"/>
                <w:szCs w:val="22"/>
                <w14:ligatures w14:val="none"/>
              </w:rPr>
            </w:pPr>
            <w:r w:rsidRPr="00E56C3D">
              <w:rPr>
                <w:rFonts w:ascii="Aptos Narrow" w:eastAsia="Times New Roman" w:hAnsi="Aptos Narrow" w:cs="Times New Roman"/>
                <w:b/>
                <w:bCs/>
                <w:color w:val="000000"/>
                <w:kern w:val="0"/>
                <w:sz w:val="22"/>
                <w:szCs w:val="22"/>
                <w14:ligatures w14:val="none"/>
              </w:rPr>
              <w:t>State</w:t>
            </w:r>
          </w:p>
        </w:tc>
        <w:tc>
          <w:tcPr>
            <w:tcW w:w="1065" w:type="dxa"/>
            <w:tcBorders>
              <w:top w:val="nil"/>
              <w:left w:val="nil"/>
              <w:bottom w:val="nil"/>
              <w:right w:val="nil"/>
            </w:tcBorders>
            <w:noWrap/>
            <w:vAlign w:val="bottom"/>
            <w:hideMark/>
          </w:tcPr>
          <w:p w14:paraId="5CE27B38" w14:textId="77777777" w:rsidR="00E56C3D" w:rsidRPr="00E56C3D" w:rsidRDefault="00E56C3D" w:rsidP="00E56C3D">
            <w:pPr>
              <w:spacing w:after="0" w:line="240" w:lineRule="auto"/>
              <w:jc w:val="center"/>
              <w:rPr>
                <w:rFonts w:ascii="Aptos Narrow" w:eastAsia="Times New Roman" w:hAnsi="Aptos Narrow" w:cs="Times New Roman"/>
                <w:b/>
                <w:bCs/>
                <w:color w:val="000000"/>
                <w:kern w:val="0"/>
                <w:sz w:val="22"/>
                <w:szCs w:val="22"/>
                <w14:ligatures w14:val="none"/>
              </w:rPr>
            </w:pPr>
            <w:r w:rsidRPr="00E56C3D">
              <w:rPr>
                <w:rFonts w:ascii="Aptos Narrow" w:eastAsia="Times New Roman" w:hAnsi="Aptos Narrow" w:cs="Times New Roman"/>
                <w:b/>
                <w:bCs/>
                <w:color w:val="000000"/>
                <w:kern w:val="0"/>
                <w:sz w:val="22"/>
                <w:szCs w:val="22"/>
                <w14:ligatures w14:val="none"/>
              </w:rPr>
              <w:t>Local</w:t>
            </w:r>
          </w:p>
        </w:tc>
        <w:tc>
          <w:tcPr>
            <w:tcW w:w="1086" w:type="dxa"/>
            <w:tcBorders>
              <w:top w:val="nil"/>
              <w:left w:val="nil"/>
              <w:bottom w:val="nil"/>
              <w:right w:val="nil"/>
            </w:tcBorders>
            <w:noWrap/>
            <w:vAlign w:val="bottom"/>
            <w:hideMark/>
          </w:tcPr>
          <w:p w14:paraId="779DF592" w14:textId="77777777" w:rsidR="00E56C3D" w:rsidRPr="00E56C3D" w:rsidRDefault="00E56C3D" w:rsidP="00E56C3D">
            <w:pPr>
              <w:spacing w:after="0" w:line="240" w:lineRule="auto"/>
              <w:jc w:val="center"/>
              <w:rPr>
                <w:rFonts w:ascii="Aptos Narrow" w:eastAsia="Times New Roman" w:hAnsi="Aptos Narrow" w:cs="Times New Roman"/>
                <w:b/>
                <w:bCs/>
                <w:color w:val="000000"/>
                <w:kern w:val="0"/>
                <w:sz w:val="22"/>
                <w:szCs w:val="22"/>
                <w14:ligatures w14:val="none"/>
              </w:rPr>
            </w:pPr>
            <w:r w:rsidRPr="00E56C3D">
              <w:rPr>
                <w:rFonts w:ascii="Aptos Narrow" w:eastAsia="Times New Roman" w:hAnsi="Aptos Narrow" w:cs="Times New Roman"/>
                <w:b/>
                <w:bCs/>
                <w:color w:val="000000"/>
                <w:kern w:val="0"/>
                <w:sz w:val="22"/>
                <w:szCs w:val="22"/>
                <w14:ligatures w14:val="none"/>
              </w:rPr>
              <w:t>Total</w:t>
            </w:r>
          </w:p>
        </w:tc>
        <w:tc>
          <w:tcPr>
            <w:tcW w:w="1037" w:type="dxa"/>
            <w:tcBorders>
              <w:top w:val="nil"/>
              <w:left w:val="nil"/>
              <w:bottom w:val="nil"/>
              <w:right w:val="nil"/>
            </w:tcBorders>
            <w:noWrap/>
            <w:vAlign w:val="bottom"/>
            <w:hideMark/>
          </w:tcPr>
          <w:p w14:paraId="01E2E744" w14:textId="77777777" w:rsidR="00E56C3D" w:rsidRPr="00E56C3D" w:rsidRDefault="00E56C3D" w:rsidP="00E56C3D">
            <w:pPr>
              <w:spacing w:after="0" w:line="240" w:lineRule="auto"/>
              <w:jc w:val="center"/>
              <w:rPr>
                <w:rFonts w:ascii="Aptos Narrow" w:eastAsia="Times New Roman" w:hAnsi="Aptos Narrow" w:cs="Times New Roman"/>
                <w:b/>
                <w:bCs/>
                <w:color w:val="000000"/>
                <w:kern w:val="0"/>
                <w:sz w:val="22"/>
                <w:szCs w:val="22"/>
                <w14:ligatures w14:val="none"/>
              </w:rPr>
            </w:pPr>
            <w:r w:rsidRPr="00E56C3D">
              <w:rPr>
                <w:rFonts w:ascii="Aptos Narrow" w:eastAsia="Times New Roman" w:hAnsi="Aptos Narrow" w:cs="Times New Roman"/>
                <w:b/>
                <w:bCs/>
                <w:color w:val="000000"/>
                <w:kern w:val="0"/>
                <w:sz w:val="22"/>
                <w:szCs w:val="22"/>
                <w14:ligatures w14:val="none"/>
              </w:rPr>
              <w:t>State</w:t>
            </w:r>
          </w:p>
        </w:tc>
        <w:tc>
          <w:tcPr>
            <w:tcW w:w="1065" w:type="dxa"/>
            <w:tcBorders>
              <w:top w:val="nil"/>
              <w:left w:val="nil"/>
              <w:bottom w:val="nil"/>
              <w:right w:val="nil"/>
            </w:tcBorders>
            <w:noWrap/>
            <w:vAlign w:val="bottom"/>
            <w:hideMark/>
          </w:tcPr>
          <w:p w14:paraId="78CECDAD" w14:textId="77777777" w:rsidR="00E56C3D" w:rsidRPr="00E56C3D" w:rsidRDefault="00E56C3D" w:rsidP="00E56C3D">
            <w:pPr>
              <w:spacing w:after="0" w:line="240" w:lineRule="auto"/>
              <w:jc w:val="center"/>
              <w:rPr>
                <w:rFonts w:ascii="Aptos Narrow" w:eastAsia="Times New Roman" w:hAnsi="Aptos Narrow" w:cs="Times New Roman"/>
                <w:b/>
                <w:bCs/>
                <w:color w:val="000000"/>
                <w:kern w:val="0"/>
                <w:sz w:val="22"/>
                <w:szCs w:val="22"/>
                <w14:ligatures w14:val="none"/>
              </w:rPr>
            </w:pPr>
            <w:r w:rsidRPr="00E56C3D">
              <w:rPr>
                <w:rFonts w:ascii="Aptos Narrow" w:eastAsia="Times New Roman" w:hAnsi="Aptos Narrow" w:cs="Times New Roman"/>
                <w:b/>
                <w:bCs/>
                <w:color w:val="000000"/>
                <w:kern w:val="0"/>
                <w:sz w:val="22"/>
                <w:szCs w:val="22"/>
                <w14:ligatures w14:val="none"/>
              </w:rPr>
              <w:t>Local</w:t>
            </w:r>
          </w:p>
        </w:tc>
        <w:tc>
          <w:tcPr>
            <w:tcW w:w="982" w:type="dxa"/>
            <w:tcBorders>
              <w:top w:val="nil"/>
              <w:left w:val="nil"/>
              <w:bottom w:val="nil"/>
              <w:right w:val="nil"/>
            </w:tcBorders>
            <w:noWrap/>
            <w:vAlign w:val="bottom"/>
            <w:hideMark/>
          </w:tcPr>
          <w:p w14:paraId="30B56BF9" w14:textId="77777777" w:rsidR="00E56C3D" w:rsidRPr="00E56C3D" w:rsidRDefault="00E56C3D" w:rsidP="00E56C3D">
            <w:pPr>
              <w:spacing w:after="0" w:line="240" w:lineRule="auto"/>
              <w:jc w:val="center"/>
              <w:rPr>
                <w:rFonts w:ascii="Aptos Narrow" w:eastAsia="Times New Roman" w:hAnsi="Aptos Narrow" w:cs="Times New Roman"/>
                <w:b/>
                <w:bCs/>
                <w:color w:val="000000"/>
                <w:kern w:val="0"/>
                <w:sz w:val="22"/>
                <w:szCs w:val="22"/>
                <w14:ligatures w14:val="none"/>
              </w:rPr>
            </w:pPr>
            <w:r w:rsidRPr="00E56C3D">
              <w:rPr>
                <w:rFonts w:ascii="Aptos Narrow" w:eastAsia="Times New Roman" w:hAnsi="Aptos Narrow" w:cs="Times New Roman"/>
                <w:b/>
                <w:bCs/>
                <w:color w:val="000000"/>
                <w:kern w:val="0"/>
                <w:sz w:val="22"/>
                <w:szCs w:val="22"/>
                <w14:ligatures w14:val="none"/>
              </w:rPr>
              <w:t>Total</w:t>
            </w:r>
          </w:p>
        </w:tc>
        <w:tc>
          <w:tcPr>
            <w:tcW w:w="1037" w:type="dxa"/>
            <w:tcBorders>
              <w:top w:val="nil"/>
              <w:left w:val="nil"/>
              <w:bottom w:val="nil"/>
              <w:right w:val="nil"/>
            </w:tcBorders>
            <w:noWrap/>
            <w:vAlign w:val="bottom"/>
            <w:hideMark/>
          </w:tcPr>
          <w:p w14:paraId="3AFBFF42" w14:textId="77777777" w:rsidR="00E56C3D" w:rsidRPr="00E56C3D" w:rsidRDefault="00E56C3D" w:rsidP="00E56C3D">
            <w:pPr>
              <w:spacing w:after="0" w:line="240" w:lineRule="auto"/>
              <w:jc w:val="center"/>
              <w:rPr>
                <w:rFonts w:ascii="Aptos Narrow" w:eastAsia="Times New Roman" w:hAnsi="Aptos Narrow" w:cs="Times New Roman"/>
                <w:b/>
                <w:bCs/>
                <w:color w:val="000000"/>
                <w:kern w:val="0"/>
                <w:sz w:val="22"/>
                <w:szCs w:val="22"/>
                <w14:ligatures w14:val="none"/>
              </w:rPr>
            </w:pPr>
            <w:r w:rsidRPr="00E56C3D">
              <w:rPr>
                <w:rFonts w:ascii="Aptos Narrow" w:eastAsia="Times New Roman" w:hAnsi="Aptos Narrow" w:cs="Times New Roman"/>
                <w:b/>
                <w:bCs/>
                <w:color w:val="000000"/>
                <w:kern w:val="0"/>
                <w:sz w:val="22"/>
                <w:szCs w:val="22"/>
                <w14:ligatures w14:val="none"/>
              </w:rPr>
              <w:t>State</w:t>
            </w:r>
          </w:p>
        </w:tc>
        <w:tc>
          <w:tcPr>
            <w:tcW w:w="1065" w:type="dxa"/>
            <w:tcBorders>
              <w:top w:val="nil"/>
              <w:left w:val="nil"/>
              <w:bottom w:val="nil"/>
              <w:right w:val="nil"/>
            </w:tcBorders>
            <w:noWrap/>
            <w:vAlign w:val="bottom"/>
            <w:hideMark/>
          </w:tcPr>
          <w:p w14:paraId="707C4B9C" w14:textId="77777777" w:rsidR="00E56C3D" w:rsidRPr="00E56C3D" w:rsidRDefault="00E56C3D" w:rsidP="00E56C3D">
            <w:pPr>
              <w:spacing w:after="0" w:line="240" w:lineRule="auto"/>
              <w:jc w:val="center"/>
              <w:rPr>
                <w:rFonts w:ascii="Aptos Narrow" w:eastAsia="Times New Roman" w:hAnsi="Aptos Narrow" w:cs="Times New Roman"/>
                <w:b/>
                <w:bCs/>
                <w:color w:val="000000"/>
                <w:kern w:val="0"/>
                <w:sz w:val="22"/>
                <w:szCs w:val="22"/>
                <w14:ligatures w14:val="none"/>
              </w:rPr>
            </w:pPr>
            <w:r w:rsidRPr="00E56C3D">
              <w:rPr>
                <w:rFonts w:ascii="Aptos Narrow" w:eastAsia="Times New Roman" w:hAnsi="Aptos Narrow" w:cs="Times New Roman"/>
                <w:b/>
                <w:bCs/>
                <w:color w:val="000000"/>
                <w:kern w:val="0"/>
                <w:sz w:val="22"/>
                <w:szCs w:val="22"/>
                <w14:ligatures w14:val="none"/>
              </w:rPr>
              <w:t>Local</w:t>
            </w:r>
          </w:p>
        </w:tc>
        <w:tc>
          <w:tcPr>
            <w:tcW w:w="1086" w:type="dxa"/>
            <w:tcBorders>
              <w:top w:val="nil"/>
              <w:left w:val="nil"/>
              <w:bottom w:val="nil"/>
              <w:right w:val="nil"/>
            </w:tcBorders>
            <w:noWrap/>
            <w:vAlign w:val="bottom"/>
            <w:hideMark/>
          </w:tcPr>
          <w:p w14:paraId="6B6D8832" w14:textId="77777777" w:rsidR="00E56C3D" w:rsidRPr="00E56C3D" w:rsidRDefault="00E56C3D" w:rsidP="00E56C3D">
            <w:pPr>
              <w:spacing w:after="0" w:line="240" w:lineRule="auto"/>
              <w:jc w:val="center"/>
              <w:rPr>
                <w:rFonts w:ascii="Aptos Narrow" w:eastAsia="Times New Roman" w:hAnsi="Aptos Narrow" w:cs="Times New Roman"/>
                <w:b/>
                <w:bCs/>
                <w:color w:val="000000"/>
                <w:kern w:val="0"/>
                <w:sz w:val="22"/>
                <w:szCs w:val="22"/>
                <w14:ligatures w14:val="none"/>
              </w:rPr>
            </w:pPr>
            <w:r w:rsidRPr="00E56C3D">
              <w:rPr>
                <w:rFonts w:ascii="Aptos Narrow" w:eastAsia="Times New Roman" w:hAnsi="Aptos Narrow" w:cs="Times New Roman"/>
                <w:b/>
                <w:bCs/>
                <w:color w:val="000000"/>
                <w:kern w:val="0"/>
                <w:sz w:val="22"/>
                <w:szCs w:val="22"/>
                <w14:ligatures w14:val="none"/>
              </w:rPr>
              <w:t>Total</w:t>
            </w:r>
          </w:p>
        </w:tc>
      </w:tr>
      <w:tr w:rsidR="00E56C3D" w:rsidRPr="00E56C3D" w14:paraId="628253F3" w14:textId="77777777" w:rsidTr="00E56C3D">
        <w:trPr>
          <w:trHeight w:val="288"/>
        </w:trPr>
        <w:tc>
          <w:tcPr>
            <w:tcW w:w="1037" w:type="dxa"/>
            <w:tcBorders>
              <w:top w:val="nil"/>
              <w:left w:val="nil"/>
              <w:bottom w:val="nil"/>
              <w:right w:val="nil"/>
            </w:tcBorders>
            <w:noWrap/>
            <w:vAlign w:val="bottom"/>
            <w:hideMark/>
          </w:tcPr>
          <w:p w14:paraId="27279E3F" w14:textId="77777777" w:rsidR="00E56C3D" w:rsidRPr="00E56C3D" w:rsidRDefault="00E56C3D" w:rsidP="00E56C3D">
            <w:pPr>
              <w:spacing w:after="0" w:line="240" w:lineRule="auto"/>
              <w:jc w:val="center"/>
              <w:rPr>
                <w:rFonts w:ascii="Aptos Narrow" w:eastAsia="Times New Roman" w:hAnsi="Aptos Narrow" w:cs="Times New Roman"/>
                <w:color w:val="000000"/>
                <w:kern w:val="0"/>
                <w:sz w:val="22"/>
                <w:szCs w:val="22"/>
                <w14:ligatures w14:val="none"/>
              </w:rPr>
            </w:pPr>
            <w:r w:rsidRPr="00E56C3D">
              <w:rPr>
                <w:rFonts w:ascii="Aptos Narrow" w:eastAsia="Times New Roman" w:hAnsi="Aptos Narrow" w:cs="Times New Roman"/>
                <w:color w:val="000000"/>
                <w:kern w:val="0"/>
                <w:sz w:val="22"/>
                <w:szCs w:val="22"/>
                <w14:ligatures w14:val="none"/>
              </w:rPr>
              <w:t>75.7</w:t>
            </w:r>
          </w:p>
        </w:tc>
        <w:tc>
          <w:tcPr>
            <w:tcW w:w="1065" w:type="dxa"/>
            <w:tcBorders>
              <w:top w:val="nil"/>
              <w:left w:val="nil"/>
              <w:bottom w:val="nil"/>
              <w:right w:val="nil"/>
            </w:tcBorders>
            <w:noWrap/>
            <w:vAlign w:val="bottom"/>
            <w:hideMark/>
          </w:tcPr>
          <w:p w14:paraId="35EEA4AA" w14:textId="77777777" w:rsidR="00E56C3D" w:rsidRPr="00E56C3D" w:rsidRDefault="00E56C3D" w:rsidP="00E56C3D">
            <w:pPr>
              <w:spacing w:after="0" w:line="240" w:lineRule="auto"/>
              <w:jc w:val="center"/>
              <w:rPr>
                <w:rFonts w:ascii="Aptos Narrow" w:eastAsia="Times New Roman" w:hAnsi="Aptos Narrow" w:cs="Times New Roman"/>
                <w:color w:val="000000"/>
                <w:kern w:val="0"/>
                <w:sz w:val="22"/>
                <w:szCs w:val="22"/>
                <w14:ligatures w14:val="none"/>
              </w:rPr>
            </w:pPr>
            <w:r w:rsidRPr="00E56C3D">
              <w:rPr>
                <w:rFonts w:ascii="Aptos Narrow" w:eastAsia="Times New Roman" w:hAnsi="Aptos Narrow" w:cs="Times New Roman"/>
                <w:color w:val="000000"/>
                <w:kern w:val="0"/>
                <w:sz w:val="22"/>
                <w:szCs w:val="22"/>
                <w14:ligatures w14:val="none"/>
              </w:rPr>
              <w:t>40.4</w:t>
            </w:r>
          </w:p>
        </w:tc>
        <w:tc>
          <w:tcPr>
            <w:tcW w:w="1086" w:type="dxa"/>
            <w:tcBorders>
              <w:top w:val="nil"/>
              <w:left w:val="nil"/>
              <w:bottom w:val="nil"/>
              <w:right w:val="nil"/>
            </w:tcBorders>
            <w:noWrap/>
            <w:vAlign w:val="bottom"/>
            <w:hideMark/>
          </w:tcPr>
          <w:p w14:paraId="1F2FD611" w14:textId="77777777" w:rsidR="00E56C3D" w:rsidRPr="00E56C3D" w:rsidRDefault="00E56C3D" w:rsidP="00E56C3D">
            <w:pPr>
              <w:spacing w:after="0" w:line="240" w:lineRule="auto"/>
              <w:jc w:val="center"/>
              <w:rPr>
                <w:rFonts w:ascii="Aptos Narrow" w:eastAsia="Times New Roman" w:hAnsi="Aptos Narrow" w:cs="Times New Roman"/>
                <w:color w:val="000000"/>
                <w:kern w:val="0"/>
                <w:sz w:val="22"/>
                <w:szCs w:val="22"/>
                <w14:ligatures w14:val="none"/>
              </w:rPr>
            </w:pPr>
            <w:r w:rsidRPr="00E56C3D">
              <w:rPr>
                <w:rFonts w:ascii="Aptos Narrow" w:eastAsia="Times New Roman" w:hAnsi="Aptos Narrow" w:cs="Times New Roman"/>
                <w:color w:val="000000"/>
                <w:kern w:val="0"/>
                <w:sz w:val="22"/>
                <w:szCs w:val="22"/>
                <w14:ligatures w14:val="none"/>
              </w:rPr>
              <w:t>116.1</w:t>
            </w:r>
          </w:p>
        </w:tc>
        <w:tc>
          <w:tcPr>
            <w:tcW w:w="1037" w:type="dxa"/>
            <w:tcBorders>
              <w:top w:val="nil"/>
              <w:left w:val="nil"/>
              <w:bottom w:val="nil"/>
              <w:right w:val="nil"/>
            </w:tcBorders>
            <w:noWrap/>
            <w:vAlign w:val="bottom"/>
            <w:hideMark/>
          </w:tcPr>
          <w:p w14:paraId="09340885" w14:textId="77777777" w:rsidR="00E56C3D" w:rsidRPr="00E56C3D" w:rsidRDefault="00E56C3D" w:rsidP="00E56C3D">
            <w:pPr>
              <w:spacing w:after="0" w:line="240" w:lineRule="auto"/>
              <w:jc w:val="center"/>
              <w:rPr>
                <w:rFonts w:ascii="Aptos Narrow" w:eastAsia="Times New Roman" w:hAnsi="Aptos Narrow" w:cs="Times New Roman"/>
                <w:color w:val="000000"/>
                <w:kern w:val="0"/>
                <w:sz w:val="22"/>
                <w:szCs w:val="22"/>
                <w14:ligatures w14:val="none"/>
              </w:rPr>
            </w:pPr>
            <w:r w:rsidRPr="00E56C3D">
              <w:rPr>
                <w:rFonts w:ascii="Aptos Narrow" w:eastAsia="Times New Roman" w:hAnsi="Aptos Narrow" w:cs="Times New Roman"/>
                <w:color w:val="000000"/>
                <w:kern w:val="0"/>
                <w:sz w:val="22"/>
                <w:szCs w:val="22"/>
                <w14:ligatures w14:val="none"/>
              </w:rPr>
              <w:t>75.6</w:t>
            </w:r>
          </w:p>
        </w:tc>
        <w:tc>
          <w:tcPr>
            <w:tcW w:w="1065" w:type="dxa"/>
            <w:tcBorders>
              <w:top w:val="nil"/>
              <w:left w:val="nil"/>
              <w:bottom w:val="nil"/>
              <w:right w:val="nil"/>
            </w:tcBorders>
            <w:noWrap/>
            <w:vAlign w:val="bottom"/>
            <w:hideMark/>
          </w:tcPr>
          <w:p w14:paraId="2C378E97" w14:textId="77777777" w:rsidR="00E56C3D" w:rsidRPr="00E56C3D" w:rsidRDefault="00E56C3D" w:rsidP="00E56C3D">
            <w:pPr>
              <w:spacing w:after="0" w:line="240" w:lineRule="auto"/>
              <w:jc w:val="center"/>
              <w:rPr>
                <w:rFonts w:ascii="Aptos Narrow" w:eastAsia="Times New Roman" w:hAnsi="Aptos Narrow" w:cs="Times New Roman"/>
                <w:color w:val="000000"/>
                <w:kern w:val="0"/>
                <w:sz w:val="22"/>
                <w:szCs w:val="22"/>
                <w14:ligatures w14:val="none"/>
              </w:rPr>
            </w:pPr>
            <w:r w:rsidRPr="00E56C3D">
              <w:rPr>
                <w:rFonts w:ascii="Aptos Narrow" w:eastAsia="Times New Roman" w:hAnsi="Aptos Narrow" w:cs="Times New Roman"/>
                <w:color w:val="000000"/>
                <w:kern w:val="0"/>
                <w:sz w:val="22"/>
                <w:szCs w:val="22"/>
                <w14:ligatures w14:val="none"/>
              </w:rPr>
              <w:t>14.2</w:t>
            </w:r>
          </w:p>
        </w:tc>
        <w:tc>
          <w:tcPr>
            <w:tcW w:w="982" w:type="dxa"/>
            <w:tcBorders>
              <w:top w:val="nil"/>
              <w:left w:val="nil"/>
              <w:bottom w:val="nil"/>
              <w:right w:val="nil"/>
            </w:tcBorders>
            <w:noWrap/>
            <w:vAlign w:val="bottom"/>
            <w:hideMark/>
          </w:tcPr>
          <w:p w14:paraId="6A65FA24" w14:textId="77777777" w:rsidR="00E56C3D" w:rsidRPr="00E56C3D" w:rsidRDefault="00E56C3D" w:rsidP="00E56C3D">
            <w:pPr>
              <w:spacing w:after="0" w:line="240" w:lineRule="auto"/>
              <w:jc w:val="center"/>
              <w:rPr>
                <w:rFonts w:ascii="Aptos Narrow" w:eastAsia="Times New Roman" w:hAnsi="Aptos Narrow" w:cs="Times New Roman"/>
                <w:color w:val="000000"/>
                <w:kern w:val="0"/>
                <w:sz w:val="22"/>
                <w:szCs w:val="22"/>
                <w14:ligatures w14:val="none"/>
              </w:rPr>
            </w:pPr>
            <w:r w:rsidRPr="00E56C3D">
              <w:rPr>
                <w:rFonts w:ascii="Aptos Narrow" w:eastAsia="Times New Roman" w:hAnsi="Aptos Narrow" w:cs="Times New Roman"/>
                <w:color w:val="000000"/>
                <w:kern w:val="0"/>
                <w:sz w:val="22"/>
                <w:szCs w:val="22"/>
                <w14:ligatures w14:val="none"/>
              </w:rPr>
              <w:t>89.8</w:t>
            </w:r>
          </w:p>
        </w:tc>
        <w:tc>
          <w:tcPr>
            <w:tcW w:w="1037" w:type="dxa"/>
            <w:tcBorders>
              <w:top w:val="nil"/>
              <w:left w:val="nil"/>
              <w:bottom w:val="nil"/>
              <w:right w:val="nil"/>
            </w:tcBorders>
            <w:noWrap/>
            <w:vAlign w:val="bottom"/>
            <w:hideMark/>
          </w:tcPr>
          <w:p w14:paraId="653A1543" w14:textId="77777777" w:rsidR="00E56C3D" w:rsidRPr="00E56C3D" w:rsidRDefault="00E56C3D" w:rsidP="00E56C3D">
            <w:pPr>
              <w:spacing w:after="0" w:line="240" w:lineRule="auto"/>
              <w:jc w:val="center"/>
              <w:rPr>
                <w:rFonts w:ascii="Aptos Narrow" w:eastAsia="Times New Roman" w:hAnsi="Aptos Narrow" w:cs="Times New Roman"/>
                <w:color w:val="000000"/>
                <w:kern w:val="0"/>
                <w:sz w:val="22"/>
                <w:szCs w:val="22"/>
                <w14:ligatures w14:val="none"/>
              </w:rPr>
            </w:pPr>
            <w:r w:rsidRPr="00E56C3D">
              <w:rPr>
                <w:rFonts w:ascii="Aptos Narrow" w:eastAsia="Times New Roman" w:hAnsi="Aptos Narrow" w:cs="Times New Roman"/>
                <w:color w:val="000000"/>
                <w:kern w:val="0"/>
                <w:sz w:val="22"/>
                <w:szCs w:val="22"/>
                <w14:ligatures w14:val="none"/>
              </w:rPr>
              <w:t>29.7</w:t>
            </w:r>
          </w:p>
        </w:tc>
        <w:tc>
          <w:tcPr>
            <w:tcW w:w="1065" w:type="dxa"/>
            <w:tcBorders>
              <w:top w:val="nil"/>
              <w:left w:val="nil"/>
              <w:bottom w:val="nil"/>
              <w:right w:val="nil"/>
            </w:tcBorders>
            <w:noWrap/>
            <w:vAlign w:val="bottom"/>
            <w:hideMark/>
          </w:tcPr>
          <w:p w14:paraId="004E918C" w14:textId="77777777" w:rsidR="00E56C3D" w:rsidRPr="00E56C3D" w:rsidRDefault="00E56C3D" w:rsidP="00E56C3D">
            <w:pPr>
              <w:spacing w:after="0" w:line="240" w:lineRule="auto"/>
              <w:jc w:val="center"/>
              <w:rPr>
                <w:rFonts w:ascii="Aptos Narrow" w:eastAsia="Times New Roman" w:hAnsi="Aptos Narrow" w:cs="Times New Roman"/>
                <w:color w:val="000000"/>
                <w:kern w:val="0"/>
                <w:sz w:val="22"/>
                <w:szCs w:val="22"/>
                <w14:ligatures w14:val="none"/>
              </w:rPr>
            </w:pPr>
            <w:r w:rsidRPr="00E56C3D">
              <w:rPr>
                <w:rFonts w:ascii="Aptos Narrow" w:eastAsia="Times New Roman" w:hAnsi="Aptos Narrow" w:cs="Times New Roman"/>
                <w:color w:val="000000"/>
                <w:kern w:val="0"/>
                <w:sz w:val="22"/>
                <w:szCs w:val="22"/>
                <w14:ligatures w14:val="none"/>
              </w:rPr>
              <w:t>77.0</w:t>
            </w:r>
          </w:p>
        </w:tc>
        <w:tc>
          <w:tcPr>
            <w:tcW w:w="1086" w:type="dxa"/>
            <w:tcBorders>
              <w:top w:val="nil"/>
              <w:left w:val="nil"/>
              <w:bottom w:val="nil"/>
              <w:right w:val="nil"/>
            </w:tcBorders>
            <w:noWrap/>
            <w:vAlign w:val="bottom"/>
            <w:hideMark/>
          </w:tcPr>
          <w:p w14:paraId="6132520B" w14:textId="77777777" w:rsidR="00E56C3D" w:rsidRPr="00E56C3D" w:rsidRDefault="00E56C3D" w:rsidP="00E56C3D">
            <w:pPr>
              <w:spacing w:after="0" w:line="240" w:lineRule="auto"/>
              <w:jc w:val="center"/>
              <w:rPr>
                <w:rFonts w:ascii="Aptos Narrow" w:eastAsia="Times New Roman" w:hAnsi="Aptos Narrow" w:cs="Times New Roman"/>
                <w:color w:val="000000"/>
                <w:kern w:val="0"/>
                <w:sz w:val="22"/>
                <w:szCs w:val="22"/>
                <w14:ligatures w14:val="none"/>
              </w:rPr>
            </w:pPr>
            <w:r w:rsidRPr="00E56C3D">
              <w:rPr>
                <w:rFonts w:ascii="Aptos Narrow" w:eastAsia="Times New Roman" w:hAnsi="Aptos Narrow" w:cs="Times New Roman"/>
                <w:color w:val="000000"/>
                <w:kern w:val="0"/>
                <w:sz w:val="22"/>
                <w:szCs w:val="22"/>
                <w14:ligatures w14:val="none"/>
              </w:rPr>
              <w:t>106.7</w:t>
            </w:r>
          </w:p>
        </w:tc>
      </w:tr>
    </w:tbl>
    <w:p w14:paraId="611B8976" w14:textId="77777777" w:rsidR="008433DB" w:rsidRDefault="008433DB" w:rsidP="00E219D4">
      <w:pPr>
        <w:rPr>
          <w:b/>
          <w:bCs/>
        </w:rPr>
      </w:pPr>
    </w:p>
    <w:p w14:paraId="4912F4D4" w14:textId="77777777" w:rsidR="008433DB" w:rsidRDefault="008433DB" w:rsidP="00E219D4">
      <w:pPr>
        <w:rPr>
          <w:b/>
          <w:bCs/>
        </w:rPr>
      </w:pPr>
    </w:p>
    <w:p w14:paraId="48DCFCEC" w14:textId="77777777" w:rsidR="00E56C3D" w:rsidRDefault="00E56C3D" w:rsidP="008C7471">
      <w:pPr>
        <w:jc w:val="center"/>
        <w:rPr>
          <w:b/>
          <w:bCs/>
          <w:sz w:val="32"/>
          <w:szCs w:val="32"/>
        </w:rPr>
      </w:pPr>
    </w:p>
    <w:p w14:paraId="042759DF" w14:textId="0D77D2C1" w:rsidR="008433DB" w:rsidRPr="008C7471" w:rsidRDefault="008433DB" w:rsidP="008C7471">
      <w:pPr>
        <w:jc w:val="center"/>
        <w:rPr>
          <w:b/>
          <w:bCs/>
          <w:sz w:val="32"/>
          <w:szCs w:val="32"/>
        </w:rPr>
      </w:pPr>
      <w:r w:rsidRPr="008C7471">
        <w:rPr>
          <w:b/>
          <w:bCs/>
          <w:sz w:val="32"/>
          <w:szCs w:val="32"/>
        </w:rPr>
        <w:t>Provisions in the House and Senate Tax Packages that Did Not Make it into the Final Bill</w:t>
      </w:r>
    </w:p>
    <w:p w14:paraId="141CB1AB" w14:textId="02C21E30" w:rsidR="00E219D4" w:rsidRPr="008433DB" w:rsidRDefault="008C7471" w:rsidP="00E219D4">
      <w:r>
        <w:rPr>
          <w:b/>
          <w:bCs/>
        </w:rPr>
        <w:t xml:space="preserve">Sales Tax Exemption for </w:t>
      </w:r>
      <w:r w:rsidR="00E219D4" w:rsidRPr="008433DB">
        <w:rPr>
          <w:b/>
          <w:bCs/>
        </w:rPr>
        <w:t xml:space="preserve">Firearm </w:t>
      </w:r>
      <w:r w:rsidR="002B632B">
        <w:rPr>
          <w:b/>
          <w:bCs/>
        </w:rPr>
        <w:t>A</w:t>
      </w:r>
      <w:r w:rsidR="00E219D4" w:rsidRPr="008433DB">
        <w:rPr>
          <w:b/>
          <w:bCs/>
        </w:rPr>
        <w:t>ccessories</w:t>
      </w:r>
      <w:r w:rsidR="002B632B">
        <w:rPr>
          <w:b/>
          <w:bCs/>
        </w:rPr>
        <w:t xml:space="preserve"> (one year)</w:t>
      </w:r>
      <w:r w:rsidR="00E219D4" w:rsidRPr="008433DB">
        <w:t xml:space="preserve"> – In addition to the guns and ammo holiday, the </w:t>
      </w:r>
      <w:r w:rsidR="008B5AD9">
        <w:t>House</w:t>
      </w:r>
      <w:r w:rsidR="00E219D4" w:rsidRPr="008433DB">
        <w:t xml:space="preserve"> also </w:t>
      </w:r>
      <w:r w:rsidR="008B5AD9">
        <w:t>proposed</w:t>
      </w:r>
      <w:r w:rsidR="00E219D4" w:rsidRPr="008433DB">
        <w:t xml:space="preserve"> a one-year sales tax exemption for firearm accessories. Exempt</w:t>
      </w:r>
      <w:r w:rsidR="008B5AD9">
        <w:t>ed</w:t>
      </w:r>
      <w:r w:rsidR="00E219D4" w:rsidRPr="008433DB">
        <w:t xml:space="preserve"> items include</w:t>
      </w:r>
      <w:r w:rsidR="008B5AD9">
        <w:t>d</w:t>
      </w:r>
      <w:r w:rsidR="00E219D4" w:rsidRPr="008433DB">
        <w:t xml:space="preserve"> cases, grips, muzzles, holsters, silencers, ammunition feeding devices, sights, cleaning kits, and more</w:t>
      </w:r>
      <w:r w:rsidR="00447AB3">
        <w:t>. These items</w:t>
      </w:r>
      <w:r w:rsidR="00E219D4" w:rsidRPr="008433DB">
        <w:t xml:space="preserve"> would be exempt for a one-year period of July 1, 2026, to June 30, 2027.  </w:t>
      </w:r>
      <w:r w:rsidR="00E219D4" w:rsidRPr="008433DB">
        <w:rPr>
          <w:b/>
          <w:bCs/>
          <w:i/>
          <w:iCs/>
        </w:rPr>
        <w:t>Taxpayer Savings</w:t>
      </w:r>
      <w:proofErr w:type="gramStart"/>
      <w:r w:rsidR="00E219D4" w:rsidRPr="008433DB">
        <w:rPr>
          <w:b/>
          <w:bCs/>
          <w:i/>
          <w:iCs/>
        </w:rPr>
        <w:t>:  $</w:t>
      </w:r>
      <w:proofErr w:type="gramEnd"/>
      <w:r w:rsidR="00E219D4" w:rsidRPr="008433DB">
        <w:rPr>
          <w:b/>
          <w:bCs/>
          <w:i/>
          <w:iCs/>
        </w:rPr>
        <w:t>11.7 million</w:t>
      </w:r>
      <w:r w:rsidR="00E219D4" w:rsidRPr="008433DB">
        <w:rPr>
          <w:b/>
          <w:bCs/>
          <w:i/>
          <w:iCs/>
        </w:rPr>
        <w:br/>
      </w:r>
    </w:p>
    <w:p w14:paraId="3BBC2524" w14:textId="4BCD72E6" w:rsidR="002B632B" w:rsidRDefault="005B140E" w:rsidP="00936D00">
      <w:pPr>
        <w:rPr>
          <w:b/>
          <w:bCs/>
        </w:rPr>
      </w:pPr>
      <w:r>
        <w:rPr>
          <w:b/>
          <w:bCs/>
        </w:rPr>
        <w:lastRenderedPageBreak/>
        <w:t xml:space="preserve">Sales Tax Exemption for </w:t>
      </w:r>
      <w:r w:rsidR="002E48FC">
        <w:rPr>
          <w:b/>
          <w:bCs/>
        </w:rPr>
        <w:t xml:space="preserve">TPP </w:t>
      </w:r>
      <w:r>
        <w:rPr>
          <w:b/>
          <w:bCs/>
        </w:rPr>
        <w:t>Lease</w:t>
      </w:r>
      <w:r w:rsidR="002E48FC">
        <w:rPr>
          <w:b/>
          <w:bCs/>
        </w:rPr>
        <w:t>d</w:t>
      </w:r>
      <w:r>
        <w:rPr>
          <w:b/>
          <w:bCs/>
        </w:rPr>
        <w:t xml:space="preserve"> </w:t>
      </w:r>
      <w:r w:rsidR="002B632B">
        <w:rPr>
          <w:b/>
          <w:bCs/>
        </w:rPr>
        <w:t xml:space="preserve">by </w:t>
      </w:r>
      <w:r w:rsidR="00E219D4" w:rsidRPr="008433DB">
        <w:rPr>
          <w:b/>
          <w:bCs/>
        </w:rPr>
        <w:t>Space Florida (one year)</w:t>
      </w:r>
      <w:r w:rsidR="00E219D4" w:rsidRPr="008433DB">
        <w:t xml:space="preserve"> – </w:t>
      </w:r>
      <w:r w:rsidR="00E057AF">
        <w:t>The House proposed</w:t>
      </w:r>
      <w:r w:rsidR="005A3AEB">
        <w:t xml:space="preserve"> a sales tax exemption</w:t>
      </w:r>
      <w:r w:rsidR="00D55903">
        <w:t>, f</w:t>
      </w:r>
      <w:r w:rsidR="00E219D4" w:rsidRPr="008433DB">
        <w:t>rom July 1, 2026 to June 30, 2027</w:t>
      </w:r>
      <w:r w:rsidR="00D55903">
        <w:t>,</w:t>
      </w:r>
      <w:r w:rsidR="00E219D4" w:rsidRPr="008433DB">
        <w:t xml:space="preserve"> for tangible personal property that is leased by a private lessee, if the property is owned by Space Florida and is used by the lessee solely in connection with a defense or aerospace contract, program, or project.</w:t>
      </w:r>
      <w:r w:rsidR="00392D2D">
        <w:t xml:space="preserve"> </w:t>
      </w:r>
      <w:r w:rsidR="00E219D4" w:rsidRPr="008433DB">
        <w:rPr>
          <w:b/>
          <w:bCs/>
          <w:i/>
          <w:iCs/>
        </w:rPr>
        <w:t>Tax Savings</w:t>
      </w:r>
      <w:proofErr w:type="gramStart"/>
      <w:r w:rsidR="009E53FE">
        <w:rPr>
          <w:b/>
          <w:bCs/>
          <w:i/>
          <w:iCs/>
        </w:rPr>
        <w:t xml:space="preserve">: </w:t>
      </w:r>
      <w:r w:rsidR="00392D2D">
        <w:rPr>
          <w:b/>
          <w:bCs/>
          <w:i/>
          <w:iCs/>
        </w:rPr>
        <w:t xml:space="preserve"> </w:t>
      </w:r>
      <w:r w:rsidR="00E219D4" w:rsidRPr="008433DB">
        <w:rPr>
          <w:b/>
          <w:bCs/>
          <w:i/>
          <w:iCs/>
        </w:rPr>
        <w:t>$</w:t>
      </w:r>
      <w:proofErr w:type="gramEnd"/>
      <w:r w:rsidR="00E219D4" w:rsidRPr="008433DB">
        <w:rPr>
          <w:b/>
          <w:bCs/>
          <w:i/>
          <w:iCs/>
        </w:rPr>
        <w:t>28.2 million</w:t>
      </w:r>
      <w:r w:rsidR="00E219D4" w:rsidRPr="008433DB">
        <w:rPr>
          <w:b/>
          <w:bCs/>
          <w:i/>
          <w:iCs/>
        </w:rPr>
        <w:br/>
      </w:r>
    </w:p>
    <w:p w14:paraId="2FA03D1C" w14:textId="4FF99713" w:rsidR="001B468D" w:rsidRPr="008433DB" w:rsidRDefault="00D52D94" w:rsidP="001B468D">
      <w:r>
        <w:rPr>
          <w:b/>
          <w:bCs/>
        </w:rPr>
        <w:t xml:space="preserve">Property Tax Exemption for </w:t>
      </w:r>
      <w:r w:rsidR="00936D00" w:rsidRPr="008433DB">
        <w:rPr>
          <w:b/>
          <w:bCs/>
        </w:rPr>
        <w:t xml:space="preserve">Space Florida </w:t>
      </w:r>
      <w:r w:rsidR="00936D00" w:rsidRPr="008433DB">
        <w:t xml:space="preserve">- The </w:t>
      </w:r>
      <w:r w:rsidR="00392D2D">
        <w:t xml:space="preserve">House also </w:t>
      </w:r>
      <w:r w:rsidR="00936D00" w:rsidRPr="008433DB">
        <w:t>pro</w:t>
      </w:r>
      <w:r w:rsidR="00392D2D">
        <w:t>posed</w:t>
      </w:r>
      <w:r w:rsidR="00936D00" w:rsidRPr="008433DB">
        <w:t xml:space="preserve"> that property being used by a non-governmental lessee pursuant to a project authorized by Space Florida is deemed to perform an essential governmental purpose and therefore </w:t>
      </w:r>
      <w:r w:rsidR="00392D2D">
        <w:t xml:space="preserve">would be </w:t>
      </w:r>
      <w:r w:rsidR="00936D00" w:rsidRPr="008433DB">
        <w:t xml:space="preserve">exempt from ad valorem taxes. The bill also expands the term "governmental purpose" to include "a defense or aerospace use." </w:t>
      </w:r>
      <w:r w:rsidR="00392D2D">
        <w:t xml:space="preserve"> </w:t>
      </w:r>
      <w:r w:rsidR="00936D00" w:rsidRPr="008433DB">
        <w:rPr>
          <w:b/>
          <w:bCs/>
          <w:i/>
          <w:iCs/>
        </w:rPr>
        <w:t>Taxpayer Savings:</w:t>
      </w:r>
      <w:r w:rsidR="00392D2D">
        <w:rPr>
          <w:b/>
          <w:bCs/>
          <w:i/>
          <w:iCs/>
        </w:rPr>
        <w:t xml:space="preserve">  $</w:t>
      </w:r>
      <w:r w:rsidR="00936D00" w:rsidRPr="008433DB">
        <w:rPr>
          <w:b/>
          <w:bCs/>
          <w:i/>
          <w:iCs/>
        </w:rPr>
        <w:t xml:space="preserve">11.4 </w:t>
      </w:r>
      <w:proofErr w:type="gramStart"/>
      <w:r w:rsidR="00936D00" w:rsidRPr="008433DB">
        <w:rPr>
          <w:b/>
          <w:bCs/>
          <w:i/>
          <w:iCs/>
        </w:rPr>
        <w:t>million  recurring</w:t>
      </w:r>
      <w:proofErr w:type="gramEnd"/>
      <w:r w:rsidR="00936D00" w:rsidRPr="008433DB">
        <w:rPr>
          <w:b/>
          <w:bCs/>
          <w:i/>
          <w:iCs/>
        </w:rPr>
        <w:t xml:space="preserve">    </w:t>
      </w:r>
      <w:r w:rsidR="00936D00" w:rsidRPr="008433DB">
        <w:rPr>
          <w:b/>
          <w:bCs/>
          <w:i/>
          <w:iCs/>
        </w:rPr>
        <w:br/>
      </w:r>
      <w:r w:rsidR="00936D00" w:rsidRPr="008433DB">
        <w:rPr>
          <w:b/>
          <w:bCs/>
          <w:i/>
          <w:iCs/>
        </w:rPr>
        <w:br/>
      </w:r>
      <w:r w:rsidR="00132A58">
        <w:rPr>
          <w:b/>
          <w:bCs/>
        </w:rPr>
        <w:t xml:space="preserve">Property Tax </w:t>
      </w:r>
      <w:r w:rsidR="00936D00" w:rsidRPr="008433DB">
        <w:rPr>
          <w:b/>
          <w:bCs/>
        </w:rPr>
        <w:t>Exemption for Multifamily Projects on State-Owned Lands</w:t>
      </w:r>
      <w:r w:rsidR="00936D00" w:rsidRPr="008433DB">
        <w:t xml:space="preserve"> </w:t>
      </w:r>
      <w:r w:rsidR="00F86BB3">
        <w:t>–</w:t>
      </w:r>
      <w:r w:rsidR="00936D00" w:rsidRPr="008433DB">
        <w:t xml:space="preserve"> </w:t>
      </w:r>
      <w:r w:rsidR="00F86BB3">
        <w:t xml:space="preserve">The </w:t>
      </w:r>
      <w:r w:rsidR="008A783B">
        <w:t>House proposed that m</w:t>
      </w:r>
      <w:r w:rsidR="00936D00" w:rsidRPr="008433DB">
        <w:t xml:space="preserve">ultifamily projects on state-owned lands that receive the current exemption may keep the exemption even if the property is sold to a non-state entity.  The property must continue to qualify </w:t>
      </w:r>
      <w:r w:rsidR="009E7569" w:rsidRPr="008433DB">
        <w:t>for</w:t>
      </w:r>
      <w:r w:rsidR="00936D00" w:rsidRPr="008433DB">
        <w:t xml:space="preserve"> the current </w:t>
      </w:r>
      <w:r w:rsidR="009E7569" w:rsidRPr="008433DB">
        <w:t>exemption,</w:t>
      </w:r>
      <w:r w:rsidR="00936D00" w:rsidRPr="008433DB">
        <w:t xml:space="preserve"> and the owner must continue to apply annually for the exemption. </w:t>
      </w:r>
      <w:r w:rsidR="00936D00" w:rsidRPr="008433DB">
        <w:rPr>
          <w:b/>
          <w:bCs/>
          <w:i/>
          <w:iCs/>
        </w:rPr>
        <w:t>Taxpayer Savings:</w:t>
      </w:r>
      <w:r w:rsidR="009E7569">
        <w:rPr>
          <w:b/>
          <w:bCs/>
          <w:i/>
          <w:iCs/>
        </w:rPr>
        <w:t xml:space="preserve">  </w:t>
      </w:r>
      <w:r w:rsidR="00936D00" w:rsidRPr="008433DB">
        <w:rPr>
          <w:b/>
          <w:bCs/>
          <w:i/>
          <w:iCs/>
        </w:rPr>
        <w:t>Indeterminate (recurring)</w:t>
      </w:r>
      <w:r w:rsidR="00936D00" w:rsidRPr="008433DB">
        <w:rPr>
          <w:b/>
          <w:bCs/>
          <w:i/>
          <w:iCs/>
        </w:rPr>
        <w:br/>
      </w:r>
      <w:r w:rsidR="00936D00" w:rsidRPr="008433DB">
        <w:rPr>
          <w:b/>
          <w:bCs/>
          <w:i/>
          <w:iCs/>
        </w:rPr>
        <w:br/>
      </w:r>
      <w:r w:rsidR="001B468D" w:rsidRPr="008433DB">
        <w:rPr>
          <w:b/>
          <w:bCs/>
        </w:rPr>
        <w:t>Surplus Lines Tax Exemption for Certain Flood Insurance</w:t>
      </w:r>
      <w:r w:rsidR="001B468D" w:rsidRPr="008433DB">
        <w:t xml:space="preserve"> </w:t>
      </w:r>
      <w:r w:rsidR="005B1383">
        <w:t>–</w:t>
      </w:r>
      <w:r w:rsidR="001B468D" w:rsidRPr="008433DB">
        <w:t xml:space="preserve"> </w:t>
      </w:r>
      <w:r w:rsidR="005B1383">
        <w:t>The House proposed a three-year</w:t>
      </w:r>
      <w:r w:rsidR="001B468D" w:rsidRPr="008433DB">
        <w:t xml:space="preserve"> exemption from the </w:t>
      </w:r>
      <w:r w:rsidR="001B468D" w:rsidRPr="005378E8">
        <w:t>insurance premium tax</w:t>
      </w:r>
      <w:r w:rsidR="001B468D" w:rsidRPr="008433DB">
        <w:t xml:space="preserve"> on flood insurance policies issued by surplus lines carriers. The exemption is repealed on June 30, 2029</w:t>
      </w:r>
      <w:r w:rsidR="005B1383">
        <w:t xml:space="preserve">. </w:t>
      </w:r>
      <w:r w:rsidR="001B468D" w:rsidRPr="008433DB">
        <w:rPr>
          <w:b/>
          <w:bCs/>
          <w:i/>
          <w:iCs/>
        </w:rPr>
        <w:t>Taxpayer Savings:  State - $3</w:t>
      </w:r>
      <w:r w:rsidR="005B1383">
        <w:rPr>
          <w:b/>
          <w:bCs/>
          <w:i/>
          <w:iCs/>
        </w:rPr>
        <w:t>5</w:t>
      </w:r>
      <w:r w:rsidR="001B468D" w:rsidRPr="008433DB">
        <w:rPr>
          <w:b/>
          <w:bCs/>
          <w:i/>
          <w:iCs/>
        </w:rPr>
        <w:t xml:space="preserve">.3 million </w:t>
      </w:r>
      <w:r w:rsidR="00EE3CB6">
        <w:rPr>
          <w:b/>
          <w:bCs/>
          <w:i/>
          <w:iCs/>
        </w:rPr>
        <w:t>per year</w:t>
      </w:r>
      <w:r w:rsidR="001B468D" w:rsidRPr="008433DB">
        <w:rPr>
          <w:b/>
          <w:bCs/>
          <w:i/>
          <w:iCs/>
        </w:rPr>
        <w:t xml:space="preserve"> for three years </w:t>
      </w:r>
      <w:r w:rsidR="001B468D" w:rsidRPr="008433DB">
        <w:rPr>
          <w:i/>
          <w:iCs/>
        </w:rPr>
        <w:br/>
      </w:r>
      <w:r w:rsidR="001B468D" w:rsidRPr="008433DB">
        <w:rPr>
          <w:i/>
          <w:iCs/>
        </w:rPr>
        <w:br/>
      </w:r>
      <w:r w:rsidR="001B468D" w:rsidRPr="008433DB">
        <w:rPr>
          <w:b/>
          <w:bCs/>
        </w:rPr>
        <w:t>Tax Discount for Domestic Beer</w:t>
      </w:r>
      <w:r w:rsidR="001B468D" w:rsidRPr="008433DB">
        <w:t xml:space="preserve"> </w:t>
      </w:r>
      <w:r w:rsidR="00AA0912" w:rsidRPr="00AA0912">
        <w:rPr>
          <w:b/>
          <w:bCs/>
        </w:rPr>
        <w:t xml:space="preserve">(one year) </w:t>
      </w:r>
      <w:r w:rsidR="001B468D" w:rsidRPr="008433DB">
        <w:t xml:space="preserve">- The </w:t>
      </w:r>
      <w:r w:rsidR="00AA0912">
        <w:t xml:space="preserve">House </w:t>
      </w:r>
      <w:r w:rsidR="00993FF1">
        <w:t xml:space="preserve">proposed to </w:t>
      </w:r>
      <w:r w:rsidR="001B468D" w:rsidRPr="008433DB">
        <w:t xml:space="preserve">temporarily reduce the </w:t>
      </w:r>
      <w:r w:rsidR="001B468D" w:rsidRPr="00D55424">
        <w:t>beverage tax</w:t>
      </w:r>
      <w:r w:rsidR="001B468D" w:rsidRPr="008433DB">
        <w:t xml:space="preserve"> rate for beer that is manufactured in this country from 48 cents to 40 cents per gallon when sold in bulk or in kegs or barrels, and from 6 to 5 cents per pint, or fraction thereof, when sold in containers of less than one gallon.</w:t>
      </w:r>
      <w:r w:rsidR="00E62DA7" w:rsidRPr="00E62DA7">
        <w:rPr>
          <w:b/>
          <w:bCs/>
          <w:i/>
          <w:iCs/>
        </w:rPr>
        <w:t xml:space="preserve"> </w:t>
      </w:r>
      <w:r w:rsidR="00E62DA7" w:rsidRPr="008433DB">
        <w:rPr>
          <w:b/>
          <w:bCs/>
          <w:i/>
          <w:iCs/>
        </w:rPr>
        <w:t>Taxpayer Savings</w:t>
      </w:r>
      <w:proofErr w:type="gramStart"/>
      <w:r w:rsidR="00E62DA7" w:rsidRPr="008433DB">
        <w:rPr>
          <w:b/>
          <w:bCs/>
          <w:i/>
          <w:iCs/>
        </w:rPr>
        <w:t>:</w:t>
      </w:r>
      <w:r w:rsidR="00E62DA7">
        <w:rPr>
          <w:b/>
          <w:bCs/>
          <w:i/>
          <w:iCs/>
        </w:rPr>
        <w:t xml:space="preserve"> </w:t>
      </w:r>
      <w:r w:rsidR="00E62DA7" w:rsidRPr="008433DB">
        <w:rPr>
          <w:b/>
          <w:bCs/>
          <w:i/>
          <w:iCs/>
        </w:rPr>
        <w:t xml:space="preserve"> $</w:t>
      </w:r>
      <w:proofErr w:type="gramEnd"/>
      <w:r w:rsidR="00E62DA7">
        <w:rPr>
          <w:b/>
          <w:bCs/>
          <w:i/>
          <w:iCs/>
        </w:rPr>
        <w:t>29.3</w:t>
      </w:r>
      <w:r w:rsidR="00E62DA7" w:rsidRPr="008433DB">
        <w:rPr>
          <w:b/>
          <w:bCs/>
          <w:i/>
          <w:iCs/>
        </w:rPr>
        <w:t xml:space="preserve"> million</w:t>
      </w:r>
      <w:r w:rsidR="00E62DA7" w:rsidRPr="008433DB">
        <w:rPr>
          <w:b/>
          <w:bCs/>
          <w:i/>
          <w:iCs/>
        </w:rPr>
        <w:br/>
      </w:r>
    </w:p>
    <w:p w14:paraId="65726DD7" w14:textId="5451C33A" w:rsidR="00857B05" w:rsidRPr="00455FD1" w:rsidRDefault="00857B05" w:rsidP="00857B05">
      <w:pPr>
        <w:rPr>
          <w:b/>
          <w:bCs/>
          <w:i/>
          <w:iCs/>
        </w:rPr>
      </w:pPr>
      <w:r w:rsidRPr="008433DB">
        <w:rPr>
          <w:b/>
          <w:bCs/>
        </w:rPr>
        <w:t>Credit for Qualified Railroad Expenditures</w:t>
      </w:r>
      <w:r w:rsidRPr="008433DB">
        <w:t xml:space="preserve"> – For </w:t>
      </w:r>
      <w:r w:rsidR="00592D16">
        <w:t xml:space="preserve">the 2026 </w:t>
      </w:r>
      <w:r w:rsidRPr="008433DB">
        <w:t>tax year</w:t>
      </w:r>
      <w:r w:rsidR="003033AB">
        <w:t>, the House proposed</w:t>
      </w:r>
      <w:r w:rsidRPr="008433DB">
        <w:t xml:space="preserve"> </w:t>
      </w:r>
      <w:r w:rsidR="003033AB">
        <w:t>to</w:t>
      </w:r>
      <w:r w:rsidRPr="008433DB">
        <w:t xml:space="preserve"> amend the type of railroad that can qualify for the corporate income tax credit for qualified railroad reconstruction or replacement expenditures to include any railroad that operate entirely within Florida. This temporarily </w:t>
      </w:r>
      <w:r w:rsidR="00BE0ADD">
        <w:t xml:space="preserve">would have </w:t>
      </w:r>
      <w:r w:rsidRPr="008433DB">
        <w:t>expand</w:t>
      </w:r>
      <w:r w:rsidR="00BE0ADD">
        <w:t>ed</w:t>
      </w:r>
      <w:r w:rsidRPr="008433DB">
        <w:t xml:space="preserve"> the pool of railroads eligible for the credit from solely freight railroads to include eligible passenger railroads.</w:t>
      </w:r>
      <w:r w:rsidR="00BE0ADD">
        <w:t xml:space="preserve"> </w:t>
      </w:r>
      <w:r w:rsidRPr="008433DB">
        <w:rPr>
          <w:b/>
          <w:bCs/>
          <w:i/>
          <w:iCs/>
        </w:rPr>
        <w:t>Taxpayer Savings:</w:t>
      </w:r>
      <w:r w:rsidR="00BE0ADD">
        <w:rPr>
          <w:b/>
          <w:bCs/>
          <w:i/>
          <w:iCs/>
        </w:rPr>
        <w:t xml:space="preserve"> </w:t>
      </w:r>
      <w:r w:rsidRPr="008433DB">
        <w:rPr>
          <w:b/>
          <w:bCs/>
          <w:i/>
          <w:iCs/>
        </w:rPr>
        <w:t xml:space="preserve"> $0.8 million</w:t>
      </w:r>
      <w:r w:rsidRPr="008433DB">
        <w:rPr>
          <w:b/>
          <w:bCs/>
          <w:i/>
          <w:iCs/>
        </w:rPr>
        <w:br/>
      </w:r>
      <w:r w:rsidR="00455FD1">
        <w:rPr>
          <w:rFonts w:cs="Open Sans"/>
          <w:b/>
          <w:bCs/>
          <w:color w:val="111111"/>
          <w:bdr w:val="none" w:sz="0" w:space="0" w:color="auto" w:frame="1"/>
          <w:shd w:val="clear" w:color="auto" w:fill="FFFFFF"/>
        </w:rPr>
        <w:br/>
      </w:r>
      <w:r w:rsidRPr="00455FD1">
        <w:rPr>
          <w:rFonts w:cs="Open Sans"/>
          <w:b/>
          <w:bCs/>
          <w:color w:val="111111"/>
          <w:bdr w:val="none" w:sz="0" w:space="0" w:color="auto" w:frame="1"/>
          <w:shd w:val="clear" w:color="auto" w:fill="FFFFFF"/>
        </w:rPr>
        <w:t xml:space="preserve">Homebuyer Workforce Tax Credit </w:t>
      </w:r>
      <w:r w:rsidR="007736F5" w:rsidRPr="00455FD1">
        <w:rPr>
          <w:rFonts w:cs="Open Sans"/>
          <w:b/>
          <w:bCs/>
          <w:color w:val="111111"/>
          <w:bdr w:val="none" w:sz="0" w:space="0" w:color="auto" w:frame="1"/>
          <w:shd w:val="clear" w:color="auto" w:fill="FFFFFF"/>
        </w:rPr>
        <w:t>–</w:t>
      </w:r>
      <w:r w:rsidRPr="00455FD1">
        <w:rPr>
          <w:rFonts w:cs="Open Sans"/>
          <w:b/>
          <w:bCs/>
          <w:color w:val="111111"/>
          <w:bdr w:val="none" w:sz="0" w:space="0" w:color="auto" w:frame="1"/>
          <w:shd w:val="clear" w:color="auto" w:fill="FFFFFF"/>
        </w:rPr>
        <w:t xml:space="preserve"> </w:t>
      </w:r>
      <w:r w:rsidRPr="00455FD1">
        <w:rPr>
          <w:rFonts w:cs="Open Sans"/>
          <w:color w:val="111111"/>
          <w:bdr w:val="none" w:sz="0" w:space="0" w:color="auto" w:frame="1"/>
          <w:shd w:val="clear" w:color="auto" w:fill="FFFFFF"/>
        </w:rPr>
        <w:t>The</w:t>
      </w:r>
      <w:r w:rsidR="007736F5" w:rsidRPr="00455FD1">
        <w:rPr>
          <w:rFonts w:cs="Open Sans"/>
          <w:color w:val="111111"/>
          <w:bdr w:val="none" w:sz="0" w:space="0" w:color="auto" w:frame="1"/>
          <w:shd w:val="clear" w:color="auto" w:fill="FFFFFF"/>
        </w:rPr>
        <w:t xml:space="preserve"> House wanted to</w:t>
      </w:r>
      <w:r w:rsidRPr="00455FD1">
        <w:rPr>
          <w:rFonts w:cs="Open Sans"/>
          <w:color w:val="111111"/>
          <w:bdr w:val="none" w:sz="0" w:space="0" w:color="auto" w:frame="1"/>
          <w:shd w:val="clear" w:color="auto" w:fill="FFFFFF"/>
        </w:rPr>
        <w:t xml:space="preserve"> create a new tax credit for employers who contribute to their moderate-income employees’ home buying expenses. The</w:t>
      </w:r>
      <w:r w:rsidR="007736F5" w:rsidRPr="00455FD1">
        <w:rPr>
          <w:rFonts w:cs="Open Sans"/>
          <w:color w:val="111111"/>
          <w:bdr w:val="none" w:sz="0" w:space="0" w:color="auto" w:frame="1"/>
          <w:shd w:val="clear" w:color="auto" w:fill="FFFFFF"/>
        </w:rPr>
        <w:t xml:space="preserve"> bill</w:t>
      </w:r>
      <w:r w:rsidRPr="00455FD1">
        <w:rPr>
          <w:rFonts w:cs="Open Sans"/>
          <w:color w:val="111111"/>
          <w:bdr w:val="none" w:sz="0" w:space="0" w:color="auto" w:frame="1"/>
          <w:shd w:val="clear" w:color="auto" w:fill="FFFFFF"/>
        </w:rPr>
        <w:t xml:space="preserve"> allow</w:t>
      </w:r>
      <w:r w:rsidR="007736F5" w:rsidRPr="00455FD1">
        <w:rPr>
          <w:rFonts w:cs="Open Sans"/>
          <w:color w:val="111111"/>
          <w:bdr w:val="none" w:sz="0" w:space="0" w:color="auto" w:frame="1"/>
          <w:shd w:val="clear" w:color="auto" w:fill="FFFFFF"/>
        </w:rPr>
        <w:t>ed</w:t>
      </w:r>
      <w:r w:rsidRPr="00455FD1">
        <w:rPr>
          <w:rFonts w:cs="Open Sans"/>
          <w:color w:val="111111"/>
          <w:bdr w:val="none" w:sz="0" w:space="0" w:color="auto" w:frame="1"/>
          <w:shd w:val="clear" w:color="auto" w:fill="FFFFFF"/>
        </w:rPr>
        <w:t xml:space="preserve"> a 100% tax credit against corporate income or insurance premium taxes for employer contributions to down payment or closing costs, capped at $5,000 per </w:t>
      </w:r>
      <w:r w:rsidRPr="00455FD1">
        <w:rPr>
          <w:rFonts w:cs="Open Sans"/>
          <w:color w:val="111111"/>
          <w:bdr w:val="none" w:sz="0" w:space="0" w:color="auto" w:frame="1"/>
          <w:shd w:val="clear" w:color="auto" w:fill="FFFFFF"/>
        </w:rPr>
        <w:lastRenderedPageBreak/>
        <w:t>employee. </w:t>
      </w:r>
      <w:r w:rsidRPr="00455FD1">
        <w:t xml:space="preserve">The program </w:t>
      </w:r>
      <w:r w:rsidR="000B2A63" w:rsidRPr="00455FD1">
        <w:t>wa</w:t>
      </w:r>
      <w:r w:rsidRPr="00455FD1">
        <w:t>s capped at $5 million per year for three years.</w:t>
      </w:r>
      <w:r w:rsidR="000B2A63" w:rsidRPr="00455FD1">
        <w:t xml:space="preserve"> </w:t>
      </w:r>
      <w:r w:rsidRPr="00455FD1">
        <w:rPr>
          <w:b/>
          <w:bCs/>
          <w:i/>
          <w:iCs/>
        </w:rPr>
        <w:t>Taxpayer Savings:</w:t>
      </w:r>
      <w:r w:rsidR="000B2A63" w:rsidRPr="00455FD1">
        <w:rPr>
          <w:b/>
          <w:bCs/>
          <w:i/>
          <w:iCs/>
        </w:rPr>
        <w:t xml:space="preserve"> </w:t>
      </w:r>
      <w:r w:rsidRPr="00455FD1">
        <w:rPr>
          <w:b/>
          <w:bCs/>
          <w:i/>
          <w:iCs/>
        </w:rPr>
        <w:t xml:space="preserve">$5.0 million a year for three years </w:t>
      </w:r>
    </w:p>
    <w:p w14:paraId="196339F8" w14:textId="1D2C8F1C" w:rsidR="00857B05" w:rsidRDefault="00A174D2" w:rsidP="00E472A8">
      <w:pPr>
        <w:pStyle w:val="BodyText"/>
        <w:spacing w:before="159" w:line="278" w:lineRule="auto"/>
        <w:rPr>
          <w:rFonts w:asciiTheme="minorHAnsi" w:hAnsiTheme="minorHAnsi"/>
          <w:b/>
          <w:bCs/>
          <w:i/>
          <w:iCs/>
        </w:rPr>
      </w:pPr>
      <w:r w:rsidRPr="00455FD1">
        <w:rPr>
          <w:rFonts w:asciiTheme="minorHAnsi" w:hAnsiTheme="minorHAnsi"/>
          <w:b/>
          <w:bCs/>
          <w:w w:val="105"/>
        </w:rPr>
        <w:t xml:space="preserve">Inheritance of Homestead Property </w:t>
      </w:r>
      <w:r w:rsidRPr="00455FD1">
        <w:rPr>
          <w:rFonts w:asciiTheme="minorHAnsi" w:hAnsiTheme="minorHAnsi"/>
          <w:w w:val="105"/>
        </w:rPr>
        <w:t xml:space="preserve">– The Senate proposed that the transfer of homestead property to a lineal descendant is not a change in ownership that requires a reassessment of the homestead under Save Our Homes. </w:t>
      </w:r>
      <w:r w:rsidR="000E3149" w:rsidRPr="00455FD1">
        <w:rPr>
          <w:rFonts w:asciiTheme="minorHAnsi" w:hAnsiTheme="minorHAnsi"/>
          <w:b/>
          <w:bCs/>
          <w:i/>
          <w:iCs/>
        </w:rPr>
        <w:t>Taxpayer Savings: $28.2 million recurring</w:t>
      </w:r>
    </w:p>
    <w:p w14:paraId="76219E1A" w14:textId="308780D8" w:rsidR="00326B8D" w:rsidRDefault="00326B8D" w:rsidP="00B71576">
      <w:pPr>
        <w:pStyle w:val="BodyText"/>
        <w:spacing w:before="159"/>
        <w:rPr>
          <w:rFonts w:asciiTheme="minorHAnsi" w:hAnsiTheme="minorHAnsi"/>
          <w:b/>
          <w:bCs/>
          <w:i/>
          <w:iCs/>
        </w:rPr>
      </w:pPr>
      <w:r w:rsidRPr="00326B8D">
        <w:rPr>
          <w:rFonts w:asciiTheme="minorHAnsi" w:hAnsiTheme="minorHAnsi"/>
          <w:b/>
          <w:bCs/>
        </w:rPr>
        <w:t>Surviving Spouses of Veterans</w:t>
      </w:r>
      <w:r w:rsidRPr="00326B8D">
        <w:rPr>
          <w:rFonts w:asciiTheme="minorHAnsi" w:hAnsiTheme="minorHAnsi"/>
        </w:rPr>
        <w:t xml:space="preserve"> </w:t>
      </w:r>
      <w:r>
        <w:rPr>
          <w:rFonts w:asciiTheme="minorHAnsi" w:hAnsiTheme="minorHAnsi"/>
        </w:rPr>
        <w:t>–</w:t>
      </w:r>
      <w:r w:rsidRPr="00326B8D">
        <w:rPr>
          <w:rFonts w:asciiTheme="minorHAnsi" w:hAnsiTheme="minorHAnsi"/>
        </w:rPr>
        <w:t xml:space="preserve"> </w:t>
      </w:r>
      <w:r>
        <w:rPr>
          <w:rFonts w:asciiTheme="minorHAnsi" w:hAnsiTheme="minorHAnsi"/>
        </w:rPr>
        <w:t>The Senate proposed</w:t>
      </w:r>
      <w:r w:rsidRPr="00326B8D">
        <w:rPr>
          <w:rFonts w:asciiTheme="minorHAnsi" w:hAnsiTheme="minorHAnsi"/>
        </w:rPr>
        <w:t xml:space="preserve"> that a surviving spouse of a totally and permanently disabled veteran or a veteran or first responder who lost their life in service may transfer </w:t>
      </w:r>
      <w:r w:rsidR="005711B2" w:rsidRPr="00326B8D">
        <w:rPr>
          <w:rFonts w:asciiTheme="minorHAnsi" w:hAnsiTheme="minorHAnsi"/>
        </w:rPr>
        <w:t>up to 120 percent of the</w:t>
      </w:r>
      <w:r w:rsidR="00B71576">
        <w:rPr>
          <w:rFonts w:asciiTheme="minorHAnsi" w:hAnsiTheme="minorHAnsi"/>
        </w:rPr>
        <w:t xml:space="preserve"> homestead</w:t>
      </w:r>
      <w:r w:rsidR="005711B2" w:rsidRPr="00326B8D">
        <w:rPr>
          <w:rFonts w:asciiTheme="minorHAnsi" w:hAnsiTheme="minorHAnsi"/>
        </w:rPr>
        <w:t xml:space="preserve"> exemption </w:t>
      </w:r>
      <w:r w:rsidRPr="00326B8D">
        <w:rPr>
          <w:rFonts w:asciiTheme="minorHAnsi" w:hAnsiTheme="minorHAnsi"/>
        </w:rPr>
        <w:t>to a new primary residence</w:t>
      </w:r>
      <w:r w:rsidR="00B71576">
        <w:rPr>
          <w:rFonts w:asciiTheme="minorHAnsi" w:hAnsiTheme="minorHAnsi"/>
        </w:rPr>
        <w:t xml:space="preserve">. </w:t>
      </w:r>
      <w:r w:rsidRPr="00326B8D">
        <w:rPr>
          <w:rFonts w:asciiTheme="minorHAnsi" w:hAnsiTheme="minorHAnsi"/>
          <w:b/>
          <w:bCs/>
          <w:i/>
          <w:iCs/>
        </w:rPr>
        <w:t>Taxpayer Savings</w:t>
      </w:r>
      <w:proofErr w:type="gramStart"/>
      <w:r w:rsidR="00B71576">
        <w:rPr>
          <w:rFonts w:asciiTheme="minorHAnsi" w:hAnsiTheme="minorHAnsi"/>
          <w:b/>
          <w:bCs/>
          <w:i/>
          <w:iCs/>
        </w:rPr>
        <w:t>:</w:t>
      </w:r>
      <w:r w:rsidR="00CC0711">
        <w:rPr>
          <w:rFonts w:asciiTheme="minorHAnsi" w:hAnsiTheme="minorHAnsi"/>
          <w:b/>
          <w:bCs/>
          <w:i/>
          <w:iCs/>
        </w:rPr>
        <w:t xml:space="preserve">  </w:t>
      </w:r>
      <w:r w:rsidRPr="00326B8D">
        <w:rPr>
          <w:rFonts w:asciiTheme="minorHAnsi" w:hAnsiTheme="minorHAnsi"/>
          <w:b/>
          <w:bCs/>
          <w:i/>
          <w:iCs/>
        </w:rPr>
        <w:t>$</w:t>
      </w:r>
      <w:proofErr w:type="gramEnd"/>
      <w:r w:rsidRPr="00326B8D">
        <w:rPr>
          <w:rFonts w:asciiTheme="minorHAnsi" w:hAnsiTheme="minorHAnsi"/>
          <w:b/>
          <w:bCs/>
          <w:i/>
          <w:iCs/>
        </w:rPr>
        <w:t>0.3 million recurring</w:t>
      </w:r>
    </w:p>
    <w:p w14:paraId="6FF871B9" w14:textId="0E8871C4" w:rsidR="00BD74AE" w:rsidRPr="00BD74AE" w:rsidRDefault="00BD74AE" w:rsidP="00BD74AE">
      <w:pPr>
        <w:pStyle w:val="BodyText"/>
        <w:spacing w:before="163"/>
        <w:ind w:right="86"/>
        <w:rPr>
          <w:rFonts w:asciiTheme="minorHAnsi" w:hAnsiTheme="minorHAnsi"/>
          <w:b/>
          <w:i/>
          <w:iCs/>
          <w:w w:val="105"/>
        </w:rPr>
      </w:pPr>
      <w:r w:rsidRPr="00BD74AE">
        <w:rPr>
          <w:rFonts w:asciiTheme="minorHAnsi" w:hAnsiTheme="minorHAnsi"/>
          <w:b/>
          <w:w w:val="105"/>
        </w:rPr>
        <w:t xml:space="preserve">Rural Community Investment Program </w:t>
      </w:r>
      <w:r w:rsidR="00886487">
        <w:rPr>
          <w:rFonts w:asciiTheme="minorHAnsi" w:hAnsiTheme="minorHAnsi"/>
          <w:b/>
          <w:w w:val="105"/>
        </w:rPr>
        <w:t>–</w:t>
      </w:r>
      <w:r w:rsidRPr="00BD74AE">
        <w:rPr>
          <w:rFonts w:asciiTheme="minorHAnsi" w:hAnsiTheme="minorHAnsi"/>
          <w:b/>
          <w:w w:val="105"/>
        </w:rPr>
        <w:t xml:space="preserve"> </w:t>
      </w:r>
      <w:r w:rsidR="00886487" w:rsidRPr="00886487">
        <w:rPr>
          <w:rFonts w:asciiTheme="minorHAnsi" w:hAnsiTheme="minorHAnsi"/>
          <w:bCs/>
          <w:w w:val="105"/>
        </w:rPr>
        <w:t>The Senate proposed that t</w:t>
      </w:r>
      <w:r w:rsidRPr="00886487">
        <w:rPr>
          <w:rFonts w:asciiTheme="minorHAnsi" w:hAnsiTheme="minorHAnsi"/>
          <w:bCs/>
          <w:w w:val="105"/>
        </w:rPr>
        <w:t>he</w:t>
      </w:r>
      <w:r w:rsidRPr="00BD74AE">
        <w:rPr>
          <w:rFonts w:asciiTheme="minorHAnsi" w:hAnsiTheme="minorHAnsi"/>
          <w:bCs/>
          <w:w w:val="105"/>
        </w:rPr>
        <w:t xml:space="preserve"> value of the Rural Community Investment Program credit would be increased from 25% of the investor’s contribution to 50%. </w:t>
      </w:r>
      <w:proofErr w:type="gramStart"/>
      <w:r w:rsidRPr="00BD74AE">
        <w:rPr>
          <w:rFonts w:asciiTheme="minorHAnsi" w:hAnsiTheme="minorHAnsi"/>
          <w:bCs/>
          <w:w w:val="105"/>
        </w:rPr>
        <w:t>The RCIP</w:t>
      </w:r>
      <w:proofErr w:type="gramEnd"/>
      <w:r w:rsidRPr="00BD74AE">
        <w:rPr>
          <w:rFonts w:asciiTheme="minorHAnsi" w:hAnsiTheme="minorHAnsi"/>
          <w:bCs/>
          <w:w w:val="105"/>
        </w:rPr>
        <w:t xml:space="preserve"> provides </w:t>
      </w:r>
      <w:proofErr w:type="gramStart"/>
      <w:r w:rsidRPr="00BD74AE">
        <w:rPr>
          <w:rFonts w:asciiTheme="minorHAnsi" w:hAnsiTheme="minorHAnsi"/>
          <w:bCs/>
          <w:w w:val="105"/>
        </w:rPr>
        <w:t>a tax</w:t>
      </w:r>
      <w:proofErr w:type="gramEnd"/>
      <w:r w:rsidRPr="00BD74AE">
        <w:rPr>
          <w:rFonts w:asciiTheme="minorHAnsi" w:hAnsiTheme="minorHAnsi"/>
          <w:bCs/>
          <w:w w:val="105"/>
        </w:rPr>
        <w:t xml:space="preserve"> credit against the corporate income tax or insurance premium tax for investment in certain rural communities.</w:t>
      </w:r>
      <w:r>
        <w:rPr>
          <w:rFonts w:asciiTheme="minorHAnsi" w:hAnsiTheme="minorHAnsi"/>
          <w:bCs/>
          <w:w w:val="105"/>
        </w:rPr>
        <w:t xml:space="preserve"> </w:t>
      </w:r>
      <w:r w:rsidRPr="00BD74AE">
        <w:rPr>
          <w:rFonts w:asciiTheme="minorHAnsi" w:hAnsiTheme="minorHAnsi"/>
          <w:b/>
          <w:i/>
          <w:iCs/>
          <w:w w:val="105"/>
        </w:rPr>
        <w:t>Taxpayer Savings</w:t>
      </w:r>
      <w:proofErr w:type="gramStart"/>
      <w:r w:rsidRPr="00BD74AE">
        <w:rPr>
          <w:rFonts w:asciiTheme="minorHAnsi" w:hAnsiTheme="minorHAnsi"/>
          <w:b/>
          <w:i/>
          <w:iCs/>
          <w:w w:val="105"/>
        </w:rPr>
        <w:t>:  Indeterminate</w:t>
      </w:r>
      <w:proofErr w:type="gramEnd"/>
    </w:p>
    <w:p w14:paraId="773805E8" w14:textId="098F81DC" w:rsidR="00A46ACC" w:rsidRPr="00A46ACC" w:rsidRDefault="00A46ACC" w:rsidP="00A46ACC">
      <w:pPr>
        <w:pStyle w:val="BodyText"/>
        <w:spacing w:before="163"/>
        <w:ind w:right="86"/>
        <w:rPr>
          <w:rFonts w:asciiTheme="minorHAnsi" w:hAnsiTheme="minorHAnsi"/>
          <w:w w:val="105"/>
        </w:rPr>
      </w:pPr>
      <w:r w:rsidRPr="003574B0">
        <w:rPr>
          <w:rFonts w:asciiTheme="minorHAnsi" w:hAnsiTheme="minorHAnsi"/>
          <w:b/>
          <w:bCs/>
          <w:w w:val="105"/>
        </w:rPr>
        <w:t>Surviving Spouses of Veterans</w:t>
      </w:r>
      <w:r w:rsidRPr="00A46ACC">
        <w:rPr>
          <w:rFonts w:asciiTheme="minorHAnsi" w:hAnsiTheme="minorHAnsi"/>
          <w:w w:val="105"/>
        </w:rPr>
        <w:t xml:space="preserve"> – The Senate proposed that a surviving spouse of a totally and permanently disabled veteran or a veteran or first responder who lost their life in service may transfer up to 120 percent of the homestead exemption to a new primary residence. Taxpayer Savings</w:t>
      </w:r>
      <w:proofErr w:type="gramStart"/>
      <w:r w:rsidRPr="00A46ACC">
        <w:rPr>
          <w:rFonts w:asciiTheme="minorHAnsi" w:hAnsiTheme="minorHAnsi"/>
          <w:w w:val="105"/>
        </w:rPr>
        <w:t>:  $</w:t>
      </w:r>
      <w:proofErr w:type="gramEnd"/>
      <w:r w:rsidRPr="00A46ACC">
        <w:rPr>
          <w:rFonts w:asciiTheme="minorHAnsi" w:hAnsiTheme="minorHAnsi"/>
          <w:w w:val="105"/>
        </w:rPr>
        <w:t>0.3 million recurring</w:t>
      </w:r>
    </w:p>
    <w:p w14:paraId="1A1F71B7" w14:textId="77777777" w:rsidR="003574B0" w:rsidRDefault="00A46ACC" w:rsidP="00A46ACC">
      <w:pPr>
        <w:pStyle w:val="BodyText"/>
        <w:spacing w:before="163" w:line="278" w:lineRule="auto"/>
        <w:ind w:right="86"/>
        <w:rPr>
          <w:rFonts w:asciiTheme="minorHAnsi" w:hAnsiTheme="minorHAnsi"/>
          <w:b/>
          <w:w w:val="105"/>
        </w:rPr>
      </w:pPr>
      <w:r w:rsidRPr="003574B0">
        <w:rPr>
          <w:rFonts w:asciiTheme="minorHAnsi" w:hAnsiTheme="minorHAnsi"/>
          <w:b/>
          <w:bCs/>
          <w:w w:val="105"/>
        </w:rPr>
        <w:t>Rural Community Investment Program</w:t>
      </w:r>
      <w:r w:rsidRPr="00A46ACC">
        <w:rPr>
          <w:rFonts w:asciiTheme="minorHAnsi" w:hAnsiTheme="minorHAnsi"/>
          <w:w w:val="105"/>
        </w:rPr>
        <w:t xml:space="preserve"> – The Senate proposed that the value of the Rural Community Investment Program credit would be increased from 25% of the investor’s contribution to 50%. </w:t>
      </w:r>
      <w:proofErr w:type="gramStart"/>
      <w:r w:rsidRPr="00A46ACC">
        <w:rPr>
          <w:rFonts w:asciiTheme="minorHAnsi" w:hAnsiTheme="minorHAnsi"/>
          <w:w w:val="105"/>
        </w:rPr>
        <w:t>The RCIP</w:t>
      </w:r>
      <w:proofErr w:type="gramEnd"/>
      <w:r w:rsidRPr="00A46ACC">
        <w:rPr>
          <w:rFonts w:asciiTheme="minorHAnsi" w:hAnsiTheme="minorHAnsi"/>
          <w:w w:val="105"/>
        </w:rPr>
        <w:t xml:space="preserve"> provides </w:t>
      </w:r>
      <w:proofErr w:type="gramStart"/>
      <w:r w:rsidRPr="00A46ACC">
        <w:rPr>
          <w:rFonts w:asciiTheme="minorHAnsi" w:hAnsiTheme="minorHAnsi"/>
          <w:w w:val="105"/>
        </w:rPr>
        <w:t>a tax</w:t>
      </w:r>
      <w:proofErr w:type="gramEnd"/>
      <w:r w:rsidRPr="00A46ACC">
        <w:rPr>
          <w:rFonts w:asciiTheme="minorHAnsi" w:hAnsiTheme="minorHAnsi"/>
          <w:w w:val="105"/>
        </w:rPr>
        <w:t xml:space="preserve"> credit against the corporate income tax or insurance premium tax for investment in certain rural communities. Taxpayer Savings</w:t>
      </w:r>
      <w:proofErr w:type="gramStart"/>
      <w:r w:rsidRPr="00A46ACC">
        <w:rPr>
          <w:rFonts w:asciiTheme="minorHAnsi" w:hAnsiTheme="minorHAnsi"/>
          <w:w w:val="105"/>
        </w:rPr>
        <w:t>:  Indeterminate</w:t>
      </w:r>
      <w:proofErr w:type="gramEnd"/>
      <w:r w:rsidR="003574B0" w:rsidRPr="003574B0">
        <w:rPr>
          <w:rFonts w:asciiTheme="minorHAnsi" w:hAnsiTheme="minorHAnsi"/>
          <w:b/>
          <w:w w:val="105"/>
        </w:rPr>
        <w:t xml:space="preserve"> </w:t>
      </w:r>
    </w:p>
    <w:p w14:paraId="6894DD63" w14:textId="436F265C" w:rsidR="00B81D42" w:rsidRPr="00455FD1" w:rsidRDefault="003574B0" w:rsidP="00A46ACC">
      <w:pPr>
        <w:pStyle w:val="BodyText"/>
        <w:spacing w:before="163" w:line="278" w:lineRule="auto"/>
        <w:ind w:right="86"/>
        <w:rPr>
          <w:rFonts w:asciiTheme="minorHAnsi" w:hAnsiTheme="minorHAnsi"/>
        </w:rPr>
      </w:pPr>
      <w:r w:rsidRPr="00455FD1">
        <w:rPr>
          <w:rFonts w:asciiTheme="minorHAnsi" w:hAnsiTheme="minorHAnsi"/>
          <w:b/>
          <w:w w:val="105"/>
        </w:rPr>
        <w:t>Charter School Funding</w:t>
      </w:r>
      <w:r w:rsidRPr="00455FD1">
        <w:rPr>
          <w:rFonts w:asciiTheme="minorHAnsi" w:hAnsiTheme="minorHAnsi"/>
          <w:b/>
          <w:spacing w:val="-1"/>
          <w:w w:val="105"/>
        </w:rPr>
        <w:t xml:space="preserve"> </w:t>
      </w:r>
      <w:r w:rsidRPr="00455FD1">
        <w:rPr>
          <w:rFonts w:asciiTheme="minorHAnsi" w:hAnsiTheme="minorHAnsi"/>
          <w:w w:val="105"/>
        </w:rPr>
        <w:t xml:space="preserve">– Currently, </w:t>
      </w:r>
      <w:r w:rsidR="00B81D42" w:rsidRPr="00455FD1">
        <w:rPr>
          <w:rFonts w:asciiTheme="minorHAnsi" w:hAnsiTheme="minorHAnsi"/>
          <w:w w:val="105"/>
        </w:rPr>
        <w:t>taxes collected</w:t>
      </w:r>
      <w:r w:rsidR="00B81D42" w:rsidRPr="00455FD1">
        <w:rPr>
          <w:rFonts w:asciiTheme="minorHAnsi" w:hAnsiTheme="minorHAnsi"/>
          <w:spacing w:val="-1"/>
          <w:w w:val="105"/>
        </w:rPr>
        <w:t xml:space="preserve"> </w:t>
      </w:r>
      <w:r w:rsidR="00B81D42" w:rsidRPr="00455FD1">
        <w:rPr>
          <w:rFonts w:asciiTheme="minorHAnsi" w:hAnsiTheme="minorHAnsi"/>
          <w:w w:val="105"/>
        </w:rPr>
        <w:t>from</w:t>
      </w:r>
      <w:r w:rsidR="00B81D42" w:rsidRPr="00455FD1">
        <w:rPr>
          <w:rFonts w:asciiTheme="minorHAnsi" w:hAnsiTheme="minorHAnsi"/>
          <w:spacing w:val="-1"/>
          <w:w w:val="105"/>
        </w:rPr>
        <w:t xml:space="preserve"> </w:t>
      </w:r>
      <w:r w:rsidR="00B81D42" w:rsidRPr="00455FD1">
        <w:rPr>
          <w:rFonts w:asciiTheme="minorHAnsi" w:hAnsiTheme="minorHAnsi"/>
          <w:w w:val="105"/>
        </w:rPr>
        <w:t>a voter</w:t>
      </w:r>
      <w:r w:rsidR="00B81D42" w:rsidRPr="00455FD1">
        <w:rPr>
          <w:rFonts w:asciiTheme="minorHAnsi" w:hAnsiTheme="minorHAnsi"/>
          <w:spacing w:val="-2"/>
          <w:w w:val="105"/>
        </w:rPr>
        <w:t xml:space="preserve"> </w:t>
      </w:r>
      <w:r w:rsidR="00B81D42" w:rsidRPr="00455FD1">
        <w:rPr>
          <w:rFonts w:asciiTheme="minorHAnsi" w:hAnsiTheme="minorHAnsi"/>
          <w:w w:val="105"/>
        </w:rPr>
        <w:t>approved</w:t>
      </w:r>
      <w:r w:rsidR="00B81D42" w:rsidRPr="00455FD1">
        <w:rPr>
          <w:rFonts w:asciiTheme="minorHAnsi" w:hAnsiTheme="minorHAnsi"/>
          <w:spacing w:val="-1"/>
          <w:w w:val="105"/>
        </w:rPr>
        <w:t xml:space="preserve"> </w:t>
      </w:r>
      <w:r w:rsidR="00B81D42" w:rsidRPr="00455FD1">
        <w:rPr>
          <w:rFonts w:asciiTheme="minorHAnsi" w:hAnsiTheme="minorHAnsi"/>
          <w:w w:val="105"/>
        </w:rPr>
        <w:t>property</w:t>
      </w:r>
      <w:r w:rsidR="00B81D42" w:rsidRPr="00455FD1">
        <w:rPr>
          <w:rFonts w:asciiTheme="minorHAnsi" w:hAnsiTheme="minorHAnsi"/>
          <w:spacing w:val="-1"/>
          <w:w w:val="105"/>
        </w:rPr>
        <w:t xml:space="preserve"> </w:t>
      </w:r>
      <w:r w:rsidR="00B81D42" w:rsidRPr="00455FD1">
        <w:rPr>
          <w:rFonts w:asciiTheme="minorHAnsi" w:hAnsiTheme="minorHAnsi"/>
          <w:w w:val="105"/>
        </w:rPr>
        <w:t>tax levy must be shared with public charter schools sponsored by a school district. The</w:t>
      </w:r>
      <w:r w:rsidR="00455FD1">
        <w:rPr>
          <w:rFonts w:asciiTheme="minorHAnsi" w:hAnsiTheme="minorHAnsi"/>
          <w:w w:val="105"/>
        </w:rPr>
        <w:t xml:space="preserve"> Senate proposed that</w:t>
      </w:r>
      <w:r w:rsidR="00B81D42" w:rsidRPr="00455FD1">
        <w:rPr>
          <w:rFonts w:asciiTheme="minorHAnsi" w:hAnsiTheme="minorHAnsi"/>
          <w:spacing w:val="-6"/>
          <w:w w:val="105"/>
        </w:rPr>
        <w:t xml:space="preserve"> </w:t>
      </w:r>
      <w:r w:rsidR="00B81D42" w:rsidRPr="00455FD1">
        <w:rPr>
          <w:rFonts w:asciiTheme="minorHAnsi" w:hAnsiTheme="minorHAnsi"/>
          <w:w w:val="105"/>
        </w:rPr>
        <w:t>the</w:t>
      </w:r>
      <w:r w:rsidR="00B81D42" w:rsidRPr="00455FD1">
        <w:rPr>
          <w:rFonts w:asciiTheme="minorHAnsi" w:hAnsiTheme="minorHAnsi"/>
          <w:spacing w:val="-6"/>
          <w:w w:val="105"/>
        </w:rPr>
        <w:t xml:space="preserve"> </w:t>
      </w:r>
      <w:r w:rsidR="00B81D42" w:rsidRPr="00455FD1">
        <w:rPr>
          <w:rFonts w:asciiTheme="minorHAnsi" w:hAnsiTheme="minorHAnsi"/>
          <w:w w:val="105"/>
        </w:rPr>
        <w:t>tax</w:t>
      </w:r>
      <w:r w:rsidR="00B81D42" w:rsidRPr="00455FD1">
        <w:rPr>
          <w:rFonts w:asciiTheme="minorHAnsi" w:hAnsiTheme="minorHAnsi"/>
          <w:spacing w:val="-8"/>
          <w:w w:val="105"/>
        </w:rPr>
        <w:t xml:space="preserve"> </w:t>
      </w:r>
      <w:r w:rsidR="00B81D42" w:rsidRPr="00455FD1">
        <w:rPr>
          <w:rFonts w:asciiTheme="minorHAnsi" w:hAnsiTheme="minorHAnsi"/>
          <w:w w:val="105"/>
        </w:rPr>
        <w:t>be</w:t>
      </w:r>
      <w:r w:rsidR="00B81D42" w:rsidRPr="00455FD1">
        <w:rPr>
          <w:rFonts w:asciiTheme="minorHAnsi" w:hAnsiTheme="minorHAnsi"/>
          <w:spacing w:val="-6"/>
          <w:w w:val="105"/>
        </w:rPr>
        <w:t xml:space="preserve"> </w:t>
      </w:r>
      <w:r w:rsidR="00B81D42" w:rsidRPr="00455FD1">
        <w:rPr>
          <w:rFonts w:asciiTheme="minorHAnsi" w:hAnsiTheme="minorHAnsi"/>
          <w:w w:val="105"/>
        </w:rPr>
        <w:t>shared</w:t>
      </w:r>
      <w:r w:rsidR="00B81D42" w:rsidRPr="00455FD1">
        <w:rPr>
          <w:rFonts w:asciiTheme="minorHAnsi" w:hAnsiTheme="minorHAnsi"/>
          <w:spacing w:val="-8"/>
          <w:w w:val="105"/>
        </w:rPr>
        <w:t xml:space="preserve"> </w:t>
      </w:r>
      <w:r w:rsidR="00B81D42" w:rsidRPr="00455FD1">
        <w:rPr>
          <w:rFonts w:asciiTheme="minorHAnsi" w:hAnsiTheme="minorHAnsi"/>
          <w:w w:val="105"/>
        </w:rPr>
        <w:t>with</w:t>
      </w:r>
      <w:r w:rsidR="00B81D42" w:rsidRPr="00455FD1">
        <w:rPr>
          <w:rFonts w:asciiTheme="minorHAnsi" w:hAnsiTheme="minorHAnsi"/>
          <w:spacing w:val="-8"/>
          <w:w w:val="105"/>
        </w:rPr>
        <w:t xml:space="preserve"> </w:t>
      </w:r>
      <w:r w:rsidR="00B81D42" w:rsidRPr="00455FD1">
        <w:rPr>
          <w:rFonts w:asciiTheme="minorHAnsi" w:hAnsiTheme="minorHAnsi"/>
          <w:w w:val="105"/>
        </w:rPr>
        <w:t>all</w:t>
      </w:r>
      <w:r w:rsidR="00B81D42" w:rsidRPr="00455FD1">
        <w:rPr>
          <w:rFonts w:asciiTheme="minorHAnsi" w:hAnsiTheme="minorHAnsi"/>
          <w:spacing w:val="-5"/>
          <w:w w:val="105"/>
        </w:rPr>
        <w:t xml:space="preserve"> </w:t>
      </w:r>
      <w:r w:rsidR="00B81D42" w:rsidRPr="00455FD1">
        <w:rPr>
          <w:rFonts w:asciiTheme="minorHAnsi" w:hAnsiTheme="minorHAnsi"/>
          <w:w w:val="105"/>
        </w:rPr>
        <w:t>charter</w:t>
      </w:r>
      <w:r w:rsidR="00B81D42" w:rsidRPr="00455FD1">
        <w:rPr>
          <w:rFonts w:asciiTheme="minorHAnsi" w:hAnsiTheme="minorHAnsi"/>
          <w:spacing w:val="-5"/>
          <w:w w:val="105"/>
        </w:rPr>
        <w:t xml:space="preserve"> </w:t>
      </w:r>
      <w:r w:rsidR="00B81D42" w:rsidRPr="00455FD1">
        <w:rPr>
          <w:rFonts w:asciiTheme="minorHAnsi" w:hAnsiTheme="minorHAnsi"/>
          <w:w w:val="105"/>
        </w:rPr>
        <w:t>schools</w:t>
      </w:r>
      <w:r w:rsidR="00B81D42" w:rsidRPr="00455FD1">
        <w:rPr>
          <w:rFonts w:asciiTheme="minorHAnsi" w:hAnsiTheme="minorHAnsi"/>
          <w:spacing w:val="-6"/>
          <w:w w:val="105"/>
        </w:rPr>
        <w:t xml:space="preserve"> </w:t>
      </w:r>
      <w:r w:rsidR="00B81D42" w:rsidRPr="00455FD1">
        <w:rPr>
          <w:rFonts w:asciiTheme="minorHAnsi" w:hAnsiTheme="minorHAnsi"/>
          <w:w w:val="105"/>
        </w:rPr>
        <w:t>regardless</w:t>
      </w:r>
      <w:r w:rsidR="00B81D42" w:rsidRPr="00455FD1">
        <w:rPr>
          <w:rFonts w:asciiTheme="minorHAnsi" w:hAnsiTheme="minorHAnsi"/>
          <w:spacing w:val="-6"/>
          <w:w w:val="105"/>
        </w:rPr>
        <w:t xml:space="preserve"> </w:t>
      </w:r>
      <w:r w:rsidR="00B81D42" w:rsidRPr="00455FD1">
        <w:rPr>
          <w:rFonts w:asciiTheme="minorHAnsi" w:hAnsiTheme="minorHAnsi"/>
          <w:w w:val="105"/>
        </w:rPr>
        <w:t>of</w:t>
      </w:r>
      <w:r w:rsidR="00B81D42" w:rsidRPr="00455FD1">
        <w:rPr>
          <w:rFonts w:asciiTheme="minorHAnsi" w:hAnsiTheme="minorHAnsi"/>
          <w:spacing w:val="-8"/>
          <w:w w:val="105"/>
        </w:rPr>
        <w:t xml:space="preserve"> </w:t>
      </w:r>
      <w:r w:rsidR="00B81D42" w:rsidRPr="00455FD1">
        <w:rPr>
          <w:rFonts w:asciiTheme="minorHAnsi" w:hAnsiTheme="minorHAnsi"/>
          <w:w w:val="105"/>
        </w:rPr>
        <w:t>the</w:t>
      </w:r>
      <w:r w:rsidR="00B81D42" w:rsidRPr="00455FD1">
        <w:rPr>
          <w:rFonts w:asciiTheme="minorHAnsi" w:hAnsiTheme="minorHAnsi"/>
          <w:spacing w:val="-6"/>
          <w:w w:val="105"/>
        </w:rPr>
        <w:t xml:space="preserve"> </w:t>
      </w:r>
      <w:r w:rsidR="00B81D42" w:rsidRPr="00455FD1">
        <w:rPr>
          <w:rFonts w:asciiTheme="minorHAnsi" w:hAnsiTheme="minorHAnsi"/>
          <w:w w:val="105"/>
        </w:rPr>
        <w:t>sponsoring</w:t>
      </w:r>
      <w:r w:rsidR="00B81D42" w:rsidRPr="00455FD1">
        <w:rPr>
          <w:rFonts w:asciiTheme="minorHAnsi" w:hAnsiTheme="minorHAnsi"/>
          <w:spacing w:val="-9"/>
          <w:w w:val="105"/>
        </w:rPr>
        <w:t xml:space="preserve"> </w:t>
      </w:r>
      <w:r w:rsidR="00B81D42" w:rsidRPr="00455FD1">
        <w:rPr>
          <w:rFonts w:asciiTheme="minorHAnsi" w:hAnsiTheme="minorHAnsi"/>
          <w:w w:val="105"/>
        </w:rPr>
        <w:t>entity.</w:t>
      </w:r>
    </w:p>
    <w:p w14:paraId="6F2E5D11" w14:textId="59567F2F" w:rsidR="00B04E7D" w:rsidRPr="008433DB" w:rsidRDefault="00063BC1" w:rsidP="00B04E7D">
      <w:pPr>
        <w:rPr>
          <w:b/>
          <w:bCs/>
          <w:i/>
          <w:iCs/>
        </w:rPr>
      </w:pPr>
      <w:r>
        <w:rPr>
          <w:b/>
          <w:bCs/>
        </w:rPr>
        <w:br/>
      </w:r>
      <w:r w:rsidR="00B04E7D" w:rsidRPr="008433DB">
        <w:rPr>
          <w:b/>
          <w:bCs/>
        </w:rPr>
        <w:t xml:space="preserve">Collection of Taxes by </w:t>
      </w:r>
      <w:r w:rsidR="00276EDD">
        <w:rPr>
          <w:b/>
          <w:bCs/>
        </w:rPr>
        <w:t>Vacation Rental</w:t>
      </w:r>
      <w:r w:rsidR="00B04E7D" w:rsidRPr="008433DB">
        <w:rPr>
          <w:b/>
          <w:bCs/>
        </w:rPr>
        <w:t xml:space="preserve"> Platforms</w:t>
      </w:r>
      <w:r w:rsidR="00B04E7D" w:rsidRPr="008433DB">
        <w:t xml:space="preserve"> – The </w:t>
      </w:r>
      <w:r w:rsidR="001B57B5">
        <w:t xml:space="preserve">House </w:t>
      </w:r>
      <w:r w:rsidR="00B04E7D" w:rsidRPr="008433DB">
        <w:t xml:space="preserve">bill </w:t>
      </w:r>
      <w:r>
        <w:t>required</w:t>
      </w:r>
      <w:r w:rsidR="00773A47">
        <w:t xml:space="preserve"> </w:t>
      </w:r>
      <w:r w:rsidR="00B04E7D" w:rsidRPr="008433DB">
        <w:t>collection of taxes by certain vacation rental platforms. These taxes are due now but are often collected by the owner or operator of the vacation rental.</w:t>
      </w:r>
    </w:p>
    <w:p w14:paraId="262188C3" w14:textId="361EA1A1" w:rsidR="00F62523" w:rsidRDefault="00B04E7D" w:rsidP="00CC0711">
      <w:r>
        <w:rPr>
          <w:b/>
          <w:bCs/>
          <w:i/>
          <w:iCs/>
        </w:rPr>
        <w:br/>
      </w:r>
      <w:r>
        <w:rPr>
          <w:b/>
          <w:bCs/>
          <w:i/>
          <w:iCs/>
        </w:rPr>
        <w:br/>
      </w:r>
    </w:p>
    <w:sectPr w:rsidR="00F62523" w:rsidSect="009F5AD3">
      <w:pgSz w:w="12240" w:h="15840"/>
      <w:pgMar w:top="72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Open Sans">
    <w:charset w:val="00"/>
    <w:family w:val="swiss"/>
    <w:pitch w:val="variable"/>
    <w:sig w:usb0="E00002EF" w:usb1="4000205B" w:usb2="00000028" w:usb3="00000000" w:csb0="0000019F" w:csb1="00000000"/>
  </w:font>
  <w:font w:name="Aptos Narrow">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8"/>
  <w:proofState w:spelling="clean" w:grammar="clean"/>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7002"/>
    <w:rsid w:val="00003E15"/>
    <w:rsid w:val="00005645"/>
    <w:rsid w:val="000077CC"/>
    <w:rsid w:val="00010A31"/>
    <w:rsid w:val="00011286"/>
    <w:rsid w:val="000123B3"/>
    <w:rsid w:val="000145F9"/>
    <w:rsid w:val="00020381"/>
    <w:rsid w:val="00020C46"/>
    <w:rsid w:val="0002296F"/>
    <w:rsid w:val="000231D5"/>
    <w:rsid w:val="0002548D"/>
    <w:rsid w:val="000254F5"/>
    <w:rsid w:val="0002565A"/>
    <w:rsid w:val="00026080"/>
    <w:rsid w:val="0003269D"/>
    <w:rsid w:val="00036C15"/>
    <w:rsid w:val="000421BB"/>
    <w:rsid w:val="000467AB"/>
    <w:rsid w:val="00047312"/>
    <w:rsid w:val="00054254"/>
    <w:rsid w:val="00054979"/>
    <w:rsid w:val="00063BC1"/>
    <w:rsid w:val="00065C22"/>
    <w:rsid w:val="000660CC"/>
    <w:rsid w:val="00066B80"/>
    <w:rsid w:val="00071F29"/>
    <w:rsid w:val="00076DA7"/>
    <w:rsid w:val="00082230"/>
    <w:rsid w:val="0008509C"/>
    <w:rsid w:val="000858F2"/>
    <w:rsid w:val="0009122B"/>
    <w:rsid w:val="00091A59"/>
    <w:rsid w:val="00096454"/>
    <w:rsid w:val="00097002"/>
    <w:rsid w:val="000A0615"/>
    <w:rsid w:val="000A20FA"/>
    <w:rsid w:val="000A5C77"/>
    <w:rsid w:val="000B137C"/>
    <w:rsid w:val="000B2A63"/>
    <w:rsid w:val="000B3AD0"/>
    <w:rsid w:val="000B4C54"/>
    <w:rsid w:val="000B61B6"/>
    <w:rsid w:val="000B62C9"/>
    <w:rsid w:val="000C10A4"/>
    <w:rsid w:val="000C2B5F"/>
    <w:rsid w:val="000D1DAC"/>
    <w:rsid w:val="000D6256"/>
    <w:rsid w:val="000E3149"/>
    <w:rsid w:val="000E621E"/>
    <w:rsid w:val="000F1BAC"/>
    <w:rsid w:val="000F7C33"/>
    <w:rsid w:val="000F7C56"/>
    <w:rsid w:val="00105DB0"/>
    <w:rsid w:val="001078B7"/>
    <w:rsid w:val="001102CD"/>
    <w:rsid w:val="0011357C"/>
    <w:rsid w:val="00116840"/>
    <w:rsid w:val="00123581"/>
    <w:rsid w:val="00126FC8"/>
    <w:rsid w:val="001302A0"/>
    <w:rsid w:val="00132A58"/>
    <w:rsid w:val="00136839"/>
    <w:rsid w:val="00142498"/>
    <w:rsid w:val="00142C11"/>
    <w:rsid w:val="00144F83"/>
    <w:rsid w:val="00157518"/>
    <w:rsid w:val="001575A0"/>
    <w:rsid w:val="0016055A"/>
    <w:rsid w:val="001614F3"/>
    <w:rsid w:val="00165D1E"/>
    <w:rsid w:val="001774EC"/>
    <w:rsid w:val="0018356E"/>
    <w:rsid w:val="00183AD6"/>
    <w:rsid w:val="00185441"/>
    <w:rsid w:val="001858F5"/>
    <w:rsid w:val="00190EB4"/>
    <w:rsid w:val="0019551D"/>
    <w:rsid w:val="001A0E1C"/>
    <w:rsid w:val="001B068F"/>
    <w:rsid w:val="001B1FDE"/>
    <w:rsid w:val="001B2456"/>
    <w:rsid w:val="001B468D"/>
    <w:rsid w:val="001B5313"/>
    <w:rsid w:val="001B57B5"/>
    <w:rsid w:val="001B6E32"/>
    <w:rsid w:val="001C0389"/>
    <w:rsid w:val="001C4787"/>
    <w:rsid w:val="001C6878"/>
    <w:rsid w:val="001C7BE7"/>
    <w:rsid w:val="001D1B03"/>
    <w:rsid w:val="001D2765"/>
    <w:rsid w:val="001D75C8"/>
    <w:rsid w:val="001E0893"/>
    <w:rsid w:val="001E111B"/>
    <w:rsid w:val="001E18F3"/>
    <w:rsid w:val="001E3580"/>
    <w:rsid w:val="001E4147"/>
    <w:rsid w:val="001E440B"/>
    <w:rsid w:val="001E7953"/>
    <w:rsid w:val="001F071C"/>
    <w:rsid w:val="001F5A7E"/>
    <w:rsid w:val="001F682A"/>
    <w:rsid w:val="002121FD"/>
    <w:rsid w:val="0021515D"/>
    <w:rsid w:val="0021557D"/>
    <w:rsid w:val="002174CE"/>
    <w:rsid w:val="002257EB"/>
    <w:rsid w:val="0022792D"/>
    <w:rsid w:val="00227E5A"/>
    <w:rsid w:val="00232F51"/>
    <w:rsid w:val="00236D39"/>
    <w:rsid w:val="00236FB7"/>
    <w:rsid w:val="0024288B"/>
    <w:rsid w:val="00245261"/>
    <w:rsid w:val="00245801"/>
    <w:rsid w:val="0024619F"/>
    <w:rsid w:val="002514F7"/>
    <w:rsid w:val="00251EEC"/>
    <w:rsid w:val="002548F9"/>
    <w:rsid w:val="002575CD"/>
    <w:rsid w:val="00263028"/>
    <w:rsid w:val="00263DC7"/>
    <w:rsid w:val="00263F22"/>
    <w:rsid w:val="00264ED6"/>
    <w:rsid w:val="00266449"/>
    <w:rsid w:val="00270519"/>
    <w:rsid w:val="00276093"/>
    <w:rsid w:val="00276EDD"/>
    <w:rsid w:val="00280955"/>
    <w:rsid w:val="00282A51"/>
    <w:rsid w:val="002838DB"/>
    <w:rsid w:val="0029168D"/>
    <w:rsid w:val="0029605B"/>
    <w:rsid w:val="002A167B"/>
    <w:rsid w:val="002A279D"/>
    <w:rsid w:val="002A34A4"/>
    <w:rsid w:val="002A5138"/>
    <w:rsid w:val="002A648A"/>
    <w:rsid w:val="002B014E"/>
    <w:rsid w:val="002B4AA2"/>
    <w:rsid w:val="002B632B"/>
    <w:rsid w:val="002B6C78"/>
    <w:rsid w:val="002C0B3E"/>
    <w:rsid w:val="002D0F10"/>
    <w:rsid w:val="002D3DC8"/>
    <w:rsid w:val="002D4BEF"/>
    <w:rsid w:val="002D5B07"/>
    <w:rsid w:val="002D5D36"/>
    <w:rsid w:val="002D77E0"/>
    <w:rsid w:val="002D7A75"/>
    <w:rsid w:val="002E1C32"/>
    <w:rsid w:val="002E296C"/>
    <w:rsid w:val="002E3256"/>
    <w:rsid w:val="002E3F00"/>
    <w:rsid w:val="002E48FC"/>
    <w:rsid w:val="002E5053"/>
    <w:rsid w:val="002E54E1"/>
    <w:rsid w:val="002F43EB"/>
    <w:rsid w:val="003016BC"/>
    <w:rsid w:val="00302E99"/>
    <w:rsid w:val="003033AB"/>
    <w:rsid w:val="00304322"/>
    <w:rsid w:val="00304F35"/>
    <w:rsid w:val="0031023A"/>
    <w:rsid w:val="00312124"/>
    <w:rsid w:val="00312ED1"/>
    <w:rsid w:val="003161BF"/>
    <w:rsid w:val="003243F7"/>
    <w:rsid w:val="00326B8D"/>
    <w:rsid w:val="003314B9"/>
    <w:rsid w:val="00336C96"/>
    <w:rsid w:val="00340AFE"/>
    <w:rsid w:val="003436BB"/>
    <w:rsid w:val="0034430F"/>
    <w:rsid w:val="003468F2"/>
    <w:rsid w:val="00355035"/>
    <w:rsid w:val="003574B0"/>
    <w:rsid w:val="00360088"/>
    <w:rsid w:val="00363DBA"/>
    <w:rsid w:val="003662A4"/>
    <w:rsid w:val="00370520"/>
    <w:rsid w:val="00370A4D"/>
    <w:rsid w:val="00374F14"/>
    <w:rsid w:val="00381DBB"/>
    <w:rsid w:val="00383E2F"/>
    <w:rsid w:val="00384408"/>
    <w:rsid w:val="003848BD"/>
    <w:rsid w:val="00390B5A"/>
    <w:rsid w:val="00390CFB"/>
    <w:rsid w:val="00390DAA"/>
    <w:rsid w:val="0039110C"/>
    <w:rsid w:val="00392D2D"/>
    <w:rsid w:val="0039647B"/>
    <w:rsid w:val="00397CFA"/>
    <w:rsid w:val="003A0D41"/>
    <w:rsid w:val="003A73F8"/>
    <w:rsid w:val="003C0692"/>
    <w:rsid w:val="003C0AB9"/>
    <w:rsid w:val="003C5C3E"/>
    <w:rsid w:val="003C743B"/>
    <w:rsid w:val="003C7FA7"/>
    <w:rsid w:val="003D10D2"/>
    <w:rsid w:val="003D2538"/>
    <w:rsid w:val="003D6080"/>
    <w:rsid w:val="003D6B81"/>
    <w:rsid w:val="003D70D9"/>
    <w:rsid w:val="003E2765"/>
    <w:rsid w:val="003E2A32"/>
    <w:rsid w:val="003E5645"/>
    <w:rsid w:val="003F043D"/>
    <w:rsid w:val="003F2F73"/>
    <w:rsid w:val="003F7234"/>
    <w:rsid w:val="003F7A87"/>
    <w:rsid w:val="00400B17"/>
    <w:rsid w:val="00400B20"/>
    <w:rsid w:val="004023A4"/>
    <w:rsid w:val="00405FC7"/>
    <w:rsid w:val="00412E9D"/>
    <w:rsid w:val="00413B00"/>
    <w:rsid w:val="00413C41"/>
    <w:rsid w:val="004160AB"/>
    <w:rsid w:val="00416C97"/>
    <w:rsid w:val="00421B63"/>
    <w:rsid w:val="0043030B"/>
    <w:rsid w:val="0043073A"/>
    <w:rsid w:val="00434690"/>
    <w:rsid w:val="00436440"/>
    <w:rsid w:val="004420F3"/>
    <w:rsid w:val="004423F9"/>
    <w:rsid w:val="0044377A"/>
    <w:rsid w:val="004461B2"/>
    <w:rsid w:val="0044642F"/>
    <w:rsid w:val="00447AB3"/>
    <w:rsid w:val="00455FD1"/>
    <w:rsid w:val="0046137F"/>
    <w:rsid w:val="00463E0F"/>
    <w:rsid w:val="004648C4"/>
    <w:rsid w:val="00470582"/>
    <w:rsid w:val="00470BDD"/>
    <w:rsid w:val="0047133E"/>
    <w:rsid w:val="00471B02"/>
    <w:rsid w:val="00473DE8"/>
    <w:rsid w:val="00475959"/>
    <w:rsid w:val="00476317"/>
    <w:rsid w:val="00480DD0"/>
    <w:rsid w:val="00481A51"/>
    <w:rsid w:val="00482AF6"/>
    <w:rsid w:val="00486299"/>
    <w:rsid w:val="00491680"/>
    <w:rsid w:val="004945E9"/>
    <w:rsid w:val="00495136"/>
    <w:rsid w:val="004A1219"/>
    <w:rsid w:val="004A1319"/>
    <w:rsid w:val="004A2680"/>
    <w:rsid w:val="004A5D0F"/>
    <w:rsid w:val="004B2638"/>
    <w:rsid w:val="004B3E4A"/>
    <w:rsid w:val="004B6FF1"/>
    <w:rsid w:val="004B7223"/>
    <w:rsid w:val="004C2374"/>
    <w:rsid w:val="004C3319"/>
    <w:rsid w:val="004C7850"/>
    <w:rsid w:val="004C7F91"/>
    <w:rsid w:val="004E0523"/>
    <w:rsid w:val="004E1CD4"/>
    <w:rsid w:val="004F3306"/>
    <w:rsid w:val="004F5529"/>
    <w:rsid w:val="004F5D4A"/>
    <w:rsid w:val="004F5FD8"/>
    <w:rsid w:val="004F6455"/>
    <w:rsid w:val="004F72EE"/>
    <w:rsid w:val="00502B3D"/>
    <w:rsid w:val="00503266"/>
    <w:rsid w:val="00503881"/>
    <w:rsid w:val="00505D0B"/>
    <w:rsid w:val="00507339"/>
    <w:rsid w:val="0052039A"/>
    <w:rsid w:val="005214EE"/>
    <w:rsid w:val="00526E67"/>
    <w:rsid w:val="0052728A"/>
    <w:rsid w:val="00527F6B"/>
    <w:rsid w:val="00530016"/>
    <w:rsid w:val="0053442B"/>
    <w:rsid w:val="005378E8"/>
    <w:rsid w:val="005405E5"/>
    <w:rsid w:val="00543352"/>
    <w:rsid w:val="00544B55"/>
    <w:rsid w:val="00546C65"/>
    <w:rsid w:val="00553D7B"/>
    <w:rsid w:val="00555936"/>
    <w:rsid w:val="00560199"/>
    <w:rsid w:val="005624D2"/>
    <w:rsid w:val="00564F1E"/>
    <w:rsid w:val="00565869"/>
    <w:rsid w:val="00566F8C"/>
    <w:rsid w:val="00567FE8"/>
    <w:rsid w:val="005711B2"/>
    <w:rsid w:val="00572080"/>
    <w:rsid w:val="00582AD6"/>
    <w:rsid w:val="0059160B"/>
    <w:rsid w:val="00592D16"/>
    <w:rsid w:val="005931F6"/>
    <w:rsid w:val="005948B7"/>
    <w:rsid w:val="0059632F"/>
    <w:rsid w:val="00597022"/>
    <w:rsid w:val="005A0A04"/>
    <w:rsid w:val="005A1A52"/>
    <w:rsid w:val="005A3AEB"/>
    <w:rsid w:val="005B1383"/>
    <w:rsid w:val="005B140E"/>
    <w:rsid w:val="005B2043"/>
    <w:rsid w:val="005B56AF"/>
    <w:rsid w:val="005B64B0"/>
    <w:rsid w:val="005B74B6"/>
    <w:rsid w:val="005C3911"/>
    <w:rsid w:val="005C4E26"/>
    <w:rsid w:val="005D6780"/>
    <w:rsid w:val="005E1F34"/>
    <w:rsid w:val="005E2163"/>
    <w:rsid w:val="005E6304"/>
    <w:rsid w:val="005E767A"/>
    <w:rsid w:val="005E7CFC"/>
    <w:rsid w:val="005F110A"/>
    <w:rsid w:val="005F40AE"/>
    <w:rsid w:val="005F5069"/>
    <w:rsid w:val="006034B5"/>
    <w:rsid w:val="00603C1E"/>
    <w:rsid w:val="0060648B"/>
    <w:rsid w:val="00606DB4"/>
    <w:rsid w:val="006120C4"/>
    <w:rsid w:val="00614270"/>
    <w:rsid w:val="0061629D"/>
    <w:rsid w:val="00616B9D"/>
    <w:rsid w:val="00617A41"/>
    <w:rsid w:val="006204DF"/>
    <w:rsid w:val="006221BE"/>
    <w:rsid w:val="00623EE5"/>
    <w:rsid w:val="006278D5"/>
    <w:rsid w:val="00630005"/>
    <w:rsid w:val="00631D5F"/>
    <w:rsid w:val="00632BCF"/>
    <w:rsid w:val="00635451"/>
    <w:rsid w:val="0063670A"/>
    <w:rsid w:val="00640DF8"/>
    <w:rsid w:val="00650FD2"/>
    <w:rsid w:val="00660605"/>
    <w:rsid w:val="006625EB"/>
    <w:rsid w:val="006637FA"/>
    <w:rsid w:val="00671BF8"/>
    <w:rsid w:val="0067417B"/>
    <w:rsid w:val="0067701E"/>
    <w:rsid w:val="00680E1B"/>
    <w:rsid w:val="00680F0C"/>
    <w:rsid w:val="006810E3"/>
    <w:rsid w:val="006906E6"/>
    <w:rsid w:val="00691680"/>
    <w:rsid w:val="00693F85"/>
    <w:rsid w:val="0069412F"/>
    <w:rsid w:val="0069537F"/>
    <w:rsid w:val="006A3823"/>
    <w:rsid w:val="006A3D46"/>
    <w:rsid w:val="006A439D"/>
    <w:rsid w:val="006A6162"/>
    <w:rsid w:val="006A6BC6"/>
    <w:rsid w:val="006A74E9"/>
    <w:rsid w:val="006B0C7B"/>
    <w:rsid w:val="006B29D7"/>
    <w:rsid w:val="006B315E"/>
    <w:rsid w:val="006C076E"/>
    <w:rsid w:val="006C38B0"/>
    <w:rsid w:val="006C423F"/>
    <w:rsid w:val="006C49B6"/>
    <w:rsid w:val="006C6E2E"/>
    <w:rsid w:val="006E5E20"/>
    <w:rsid w:val="006E7461"/>
    <w:rsid w:val="006E7DE1"/>
    <w:rsid w:val="006F5436"/>
    <w:rsid w:val="006F6B77"/>
    <w:rsid w:val="00700ABA"/>
    <w:rsid w:val="00700B09"/>
    <w:rsid w:val="0070402C"/>
    <w:rsid w:val="007041E7"/>
    <w:rsid w:val="00704C9B"/>
    <w:rsid w:val="00712E42"/>
    <w:rsid w:val="007158F2"/>
    <w:rsid w:val="00715974"/>
    <w:rsid w:val="007164B8"/>
    <w:rsid w:val="0071668F"/>
    <w:rsid w:val="00717708"/>
    <w:rsid w:val="00720942"/>
    <w:rsid w:val="00723D3E"/>
    <w:rsid w:val="00725584"/>
    <w:rsid w:val="0072587B"/>
    <w:rsid w:val="00726410"/>
    <w:rsid w:val="00742B3B"/>
    <w:rsid w:val="007477BF"/>
    <w:rsid w:val="00754CBF"/>
    <w:rsid w:val="007628BC"/>
    <w:rsid w:val="007632BC"/>
    <w:rsid w:val="00764D74"/>
    <w:rsid w:val="007736F5"/>
    <w:rsid w:val="00773A47"/>
    <w:rsid w:val="007776A7"/>
    <w:rsid w:val="0078243E"/>
    <w:rsid w:val="00785164"/>
    <w:rsid w:val="00786B58"/>
    <w:rsid w:val="00791836"/>
    <w:rsid w:val="00794296"/>
    <w:rsid w:val="007954F0"/>
    <w:rsid w:val="00796BAE"/>
    <w:rsid w:val="00797B0B"/>
    <w:rsid w:val="007A06EE"/>
    <w:rsid w:val="007A1EE9"/>
    <w:rsid w:val="007A278C"/>
    <w:rsid w:val="007A5D4E"/>
    <w:rsid w:val="007B17AC"/>
    <w:rsid w:val="007B3D11"/>
    <w:rsid w:val="007D190C"/>
    <w:rsid w:val="007D1934"/>
    <w:rsid w:val="007E1780"/>
    <w:rsid w:val="007E18A5"/>
    <w:rsid w:val="007E3FF0"/>
    <w:rsid w:val="007E43E4"/>
    <w:rsid w:val="007E591D"/>
    <w:rsid w:val="007E6DDA"/>
    <w:rsid w:val="007E7E68"/>
    <w:rsid w:val="007F06ED"/>
    <w:rsid w:val="007F29F7"/>
    <w:rsid w:val="007F2F0F"/>
    <w:rsid w:val="007F4E59"/>
    <w:rsid w:val="0081008F"/>
    <w:rsid w:val="0081356A"/>
    <w:rsid w:val="00813BE7"/>
    <w:rsid w:val="00815FD3"/>
    <w:rsid w:val="00823A03"/>
    <w:rsid w:val="00825D23"/>
    <w:rsid w:val="00836C02"/>
    <w:rsid w:val="00837AA3"/>
    <w:rsid w:val="008433DB"/>
    <w:rsid w:val="0084784A"/>
    <w:rsid w:val="00851E2D"/>
    <w:rsid w:val="0085497C"/>
    <w:rsid w:val="00856761"/>
    <w:rsid w:val="00857B05"/>
    <w:rsid w:val="00857BA6"/>
    <w:rsid w:val="00860658"/>
    <w:rsid w:val="00861401"/>
    <w:rsid w:val="0086288E"/>
    <w:rsid w:val="00862C5B"/>
    <w:rsid w:val="00864073"/>
    <w:rsid w:val="00865AF4"/>
    <w:rsid w:val="00870FA6"/>
    <w:rsid w:val="008747A0"/>
    <w:rsid w:val="00875869"/>
    <w:rsid w:val="00877714"/>
    <w:rsid w:val="008778AF"/>
    <w:rsid w:val="00885D7E"/>
    <w:rsid w:val="00886487"/>
    <w:rsid w:val="008875FE"/>
    <w:rsid w:val="00887F7C"/>
    <w:rsid w:val="0089286C"/>
    <w:rsid w:val="008A06F2"/>
    <w:rsid w:val="008A0F6F"/>
    <w:rsid w:val="008A43E2"/>
    <w:rsid w:val="008A4835"/>
    <w:rsid w:val="008A783B"/>
    <w:rsid w:val="008B3DCF"/>
    <w:rsid w:val="008B5AD9"/>
    <w:rsid w:val="008C30B4"/>
    <w:rsid w:val="008C7471"/>
    <w:rsid w:val="008D026F"/>
    <w:rsid w:val="008D2B15"/>
    <w:rsid w:val="008D61BA"/>
    <w:rsid w:val="008E29B8"/>
    <w:rsid w:val="008E3D1E"/>
    <w:rsid w:val="008E4EB6"/>
    <w:rsid w:val="008F360C"/>
    <w:rsid w:val="008F37BD"/>
    <w:rsid w:val="008F694B"/>
    <w:rsid w:val="008F6B2B"/>
    <w:rsid w:val="00901DDF"/>
    <w:rsid w:val="009040C4"/>
    <w:rsid w:val="009065B9"/>
    <w:rsid w:val="00912436"/>
    <w:rsid w:val="00921BD1"/>
    <w:rsid w:val="00926DD6"/>
    <w:rsid w:val="00927069"/>
    <w:rsid w:val="0092733B"/>
    <w:rsid w:val="009305DD"/>
    <w:rsid w:val="0093182D"/>
    <w:rsid w:val="0093351B"/>
    <w:rsid w:val="0093371D"/>
    <w:rsid w:val="00936D00"/>
    <w:rsid w:val="00937917"/>
    <w:rsid w:val="00937E42"/>
    <w:rsid w:val="00941668"/>
    <w:rsid w:val="0095063A"/>
    <w:rsid w:val="00952E34"/>
    <w:rsid w:val="00953E4F"/>
    <w:rsid w:val="009548BE"/>
    <w:rsid w:val="00955BDD"/>
    <w:rsid w:val="009569FD"/>
    <w:rsid w:val="00956AB2"/>
    <w:rsid w:val="00961D49"/>
    <w:rsid w:val="009639FB"/>
    <w:rsid w:val="00966F52"/>
    <w:rsid w:val="0097066C"/>
    <w:rsid w:val="00970B4C"/>
    <w:rsid w:val="00974FA7"/>
    <w:rsid w:val="009756CB"/>
    <w:rsid w:val="009773A6"/>
    <w:rsid w:val="0098146C"/>
    <w:rsid w:val="00983448"/>
    <w:rsid w:val="009848E7"/>
    <w:rsid w:val="00986476"/>
    <w:rsid w:val="009866AF"/>
    <w:rsid w:val="009918F3"/>
    <w:rsid w:val="00993FF1"/>
    <w:rsid w:val="009A05F1"/>
    <w:rsid w:val="009A20E1"/>
    <w:rsid w:val="009A29DD"/>
    <w:rsid w:val="009A410B"/>
    <w:rsid w:val="009A75F8"/>
    <w:rsid w:val="009A7AA8"/>
    <w:rsid w:val="009B2BB6"/>
    <w:rsid w:val="009C0BEA"/>
    <w:rsid w:val="009C2531"/>
    <w:rsid w:val="009C6377"/>
    <w:rsid w:val="009C6496"/>
    <w:rsid w:val="009D0049"/>
    <w:rsid w:val="009D4EA2"/>
    <w:rsid w:val="009E10E8"/>
    <w:rsid w:val="009E210B"/>
    <w:rsid w:val="009E53FE"/>
    <w:rsid w:val="009E7569"/>
    <w:rsid w:val="009E7A55"/>
    <w:rsid w:val="009F0E86"/>
    <w:rsid w:val="009F3714"/>
    <w:rsid w:val="009F4859"/>
    <w:rsid w:val="009F5AD3"/>
    <w:rsid w:val="009F5DFA"/>
    <w:rsid w:val="009F7F24"/>
    <w:rsid w:val="00A00333"/>
    <w:rsid w:val="00A02186"/>
    <w:rsid w:val="00A021C9"/>
    <w:rsid w:val="00A02E21"/>
    <w:rsid w:val="00A040DB"/>
    <w:rsid w:val="00A05336"/>
    <w:rsid w:val="00A055E5"/>
    <w:rsid w:val="00A07F31"/>
    <w:rsid w:val="00A1002F"/>
    <w:rsid w:val="00A1203D"/>
    <w:rsid w:val="00A14D21"/>
    <w:rsid w:val="00A16357"/>
    <w:rsid w:val="00A164E1"/>
    <w:rsid w:val="00A174D2"/>
    <w:rsid w:val="00A2417C"/>
    <w:rsid w:val="00A2468E"/>
    <w:rsid w:val="00A24ED9"/>
    <w:rsid w:val="00A31A7E"/>
    <w:rsid w:val="00A35385"/>
    <w:rsid w:val="00A3560B"/>
    <w:rsid w:val="00A4238F"/>
    <w:rsid w:val="00A45AFC"/>
    <w:rsid w:val="00A46ACC"/>
    <w:rsid w:val="00A474E3"/>
    <w:rsid w:val="00A524E4"/>
    <w:rsid w:val="00A54ED2"/>
    <w:rsid w:val="00A561BA"/>
    <w:rsid w:val="00A569F0"/>
    <w:rsid w:val="00A677DE"/>
    <w:rsid w:val="00A73FF6"/>
    <w:rsid w:val="00A82FD5"/>
    <w:rsid w:val="00A85597"/>
    <w:rsid w:val="00A85E03"/>
    <w:rsid w:val="00A8723D"/>
    <w:rsid w:val="00A91026"/>
    <w:rsid w:val="00A93C0F"/>
    <w:rsid w:val="00A95E5D"/>
    <w:rsid w:val="00A96409"/>
    <w:rsid w:val="00A97E0D"/>
    <w:rsid w:val="00AA0912"/>
    <w:rsid w:val="00AA31D3"/>
    <w:rsid w:val="00AB199E"/>
    <w:rsid w:val="00AB2E9B"/>
    <w:rsid w:val="00AB45A7"/>
    <w:rsid w:val="00AB5C45"/>
    <w:rsid w:val="00AB711C"/>
    <w:rsid w:val="00AC3074"/>
    <w:rsid w:val="00AC67EE"/>
    <w:rsid w:val="00AC6E70"/>
    <w:rsid w:val="00AD775C"/>
    <w:rsid w:val="00AE6CC9"/>
    <w:rsid w:val="00AF2590"/>
    <w:rsid w:val="00AF259C"/>
    <w:rsid w:val="00AF6769"/>
    <w:rsid w:val="00B0305E"/>
    <w:rsid w:val="00B04451"/>
    <w:rsid w:val="00B04701"/>
    <w:rsid w:val="00B04E7D"/>
    <w:rsid w:val="00B06F1A"/>
    <w:rsid w:val="00B1212E"/>
    <w:rsid w:val="00B13A02"/>
    <w:rsid w:val="00B146BC"/>
    <w:rsid w:val="00B1771C"/>
    <w:rsid w:val="00B31CA6"/>
    <w:rsid w:val="00B3399D"/>
    <w:rsid w:val="00B361D3"/>
    <w:rsid w:val="00B40155"/>
    <w:rsid w:val="00B447F4"/>
    <w:rsid w:val="00B44DBE"/>
    <w:rsid w:val="00B50201"/>
    <w:rsid w:val="00B52512"/>
    <w:rsid w:val="00B53467"/>
    <w:rsid w:val="00B61815"/>
    <w:rsid w:val="00B64743"/>
    <w:rsid w:val="00B70CF3"/>
    <w:rsid w:val="00B71576"/>
    <w:rsid w:val="00B72BBB"/>
    <w:rsid w:val="00B81D42"/>
    <w:rsid w:val="00B82908"/>
    <w:rsid w:val="00B82F26"/>
    <w:rsid w:val="00B83405"/>
    <w:rsid w:val="00B90A28"/>
    <w:rsid w:val="00B92DA0"/>
    <w:rsid w:val="00B94B6B"/>
    <w:rsid w:val="00B967FD"/>
    <w:rsid w:val="00B96C1C"/>
    <w:rsid w:val="00BA19F6"/>
    <w:rsid w:val="00BA69B9"/>
    <w:rsid w:val="00BA71EE"/>
    <w:rsid w:val="00BB028B"/>
    <w:rsid w:val="00BB3AAC"/>
    <w:rsid w:val="00BB656F"/>
    <w:rsid w:val="00BC2D0A"/>
    <w:rsid w:val="00BC552F"/>
    <w:rsid w:val="00BC600F"/>
    <w:rsid w:val="00BC6569"/>
    <w:rsid w:val="00BD55ED"/>
    <w:rsid w:val="00BD74AE"/>
    <w:rsid w:val="00BE0ADD"/>
    <w:rsid w:val="00BE10DA"/>
    <w:rsid w:val="00BE138E"/>
    <w:rsid w:val="00BE223D"/>
    <w:rsid w:val="00BE4331"/>
    <w:rsid w:val="00BE75C3"/>
    <w:rsid w:val="00BE78F7"/>
    <w:rsid w:val="00BF039D"/>
    <w:rsid w:val="00BF376C"/>
    <w:rsid w:val="00BF37CC"/>
    <w:rsid w:val="00BF4137"/>
    <w:rsid w:val="00BF7B6B"/>
    <w:rsid w:val="00C11437"/>
    <w:rsid w:val="00C147F8"/>
    <w:rsid w:val="00C20892"/>
    <w:rsid w:val="00C23F8B"/>
    <w:rsid w:val="00C24936"/>
    <w:rsid w:val="00C25659"/>
    <w:rsid w:val="00C25BE2"/>
    <w:rsid w:val="00C32DA7"/>
    <w:rsid w:val="00C32F6A"/>
    <w:rsid w:val="00C37435"/>
    <w:rsid w:val="00C45DDE"/>
    <w:rsid w:val="00C52F28"/>
    <w:rsid w:val="00C569E7"/>
    <w:rsid w:val="00C617EC"/>
    <w:rsid w:val="00C62986"/>
    <w:rsid w:val="00C6382A"/>
    <w:rsid w:val="00C6414E"/>
    <w:rsid w:val="00C64200"/>
    <w:rsid w:val="00C672FF"/>
    <w:rsid w:val="00C71E0B"/>
    <w:rsid w:val="00C802E4"/>
    <w:rsid w:val="00C808AD"/>
    <w:rsid w:val="00C83164"/>
    <w:rsid w:val="00C91229"/>
    <w:rsid w:val="00C93528"/>
    <w:rsid w:val="00C93866"/>
    <w:rsid w:val="00CA11A1"/>
    <w:rsid w:val="00CA5C89"/>
    <w:rsid w:val="00CB42E1"/>
    <w:rsid w:val="00CB4671"/>
    <w:rsid w:val="00CB57F7"/>
    <w:rsid w:val="00CB708A"/>
    <w:rsid w:val="00CB76E3"/>
    <w:rsid w:val="00CC0048"/>
    <w:rsid w:val="00CC0711"/>
    <w:rsid w:val="00CC0FC7"/>
    <w:rsid w:val="00CC4530"/>
    <w:rsid w:val="00CC51BF"/>
    <w:rsid w:val="00CC646A"/>
    <w:rsid w:val="00CC77FB"/>
    <w:rsid w:val="00CD3C39"/>
    <w:rsid w:val="00CD6D89"/>
    <w:rsid w:val="00CE2917"/>
    <w:rsid w:val="00CE3C59"/>
    <w:rsid w:val="00CE3F73"/>
    <w:rsid w:val="00CF11A3"/>
    <w:rsid w:val="00CF3AE5"/>
    <w:rsid w:val="00D0209D"/>
    <w:rsid w:val="00D04A47"/>
    <w:rsid w:val="00D04B19"/>
    <w:rsid w:val="00D07168"/>
    <w:rsid w:val="00D119B7"/>
    <w:rsid w:val="00D15C20"/>
    <w:rsid w:val="00D20D1A"/>
    <w:rsid w:val="00D25698"/>
    <w:rsid w:val="00D25997"/>
    <w:rsid w:val="00D26E74"/>
    <w:rsid w:val="00D30658"/>
    <w:rsid w:val="00D31BB0"/>
    <w:rsid w:val="00D3650D"/>
    <w:rsid w:val="00D36A12"/>
    <w:rsid w:val="00D43B39"/>
    <w:rsid w:val="00D465B9"/>
    <w:rsid w:val="00D52D94"/>
    <w:rsid w:val="00D55424"/>
    <w:rsid w:val="00D55903"/>
    <w:rsid w:val="00D5631E"/>
    <w:rsid w:val="00D72CEA"/>
    <w:rsid w:val="00D72F38"/>
    <w:rsid w:val="00D77C5C"/>
    <w:rsid w:val="00D83734"/>
    <w:rsid w:val="00D8486C"/>
    <w:rsid w:val="00D85ED3"/>
    <w:rsid w:val="00D91EC8"/>
    <w:rsid w:val="00D937C9"/>
    <w:rsid w:val="00DA3935"/>
    <w:rsid w:val="00DA3B33"/>
    <w:rsid w:val="00DA3DDE"/>
    <w:rsid w:val="00DA545C"/>
    <w:rsid w:val="00DB3446"/>
    <w:rsid w:val="00DC02F4"/>
    <w:rsid w:val="00DC0763"/>
    <w:rsid w:val="00DC4AA3"/>
    <w:rsid w:val="00DC54B7"/>
    <w:rsid w:val="00DC70D6"/>
    <w:rsid w:val="00DD1908"/>
    <w:rsid w:val="00DD55CC"/>
    <w:rsid w:val="00DD64EA"/>
    <w:rsid w:val="00DD75CF"/>
    <w:rsid w:val="00DE5B56"/>
    <w:rsid w:val="00DE6F80"/>
    <w:rsid w:val="00DF0A48"/>
    <w:rsid w:val="00DF1E7E"/>
    <w:rsid w:val="00DF3AAE"/>
    <w:rsid w:val="00DF60FB"/>
    <w:rsid w:val="00E0090B"/>
    <w:rsid w:val="00E03A72"/>
    <w:rsid w:val="00E03D08"/>
    <w:rsid w:val="00E044B2"/>
    <w:rsid w:val="00E0463C"/>
    <w:rsid w:val="00E057AF"/>
    <w:rsid w:val="00E067AB"/>
    <w:rsid w:val="00E138C2"/>
    <w:rsid w:val="00E13976"/>
    <w:rsid w:val="00E15E4B"/>
    <w:rsid w:val="00E16D89"/>
    <w:rsid w:val="00E20E18"/>
    <w:rsid w:val="00E219D4"/>
    <w:rsid w:val="00E30218"/>
    <w:rsid w:val="00E3415B"/>
    <w:rsid w:val="00E45CB5"/>
    <w:rsid w:val="00E472A8"/>
    <w:rsid w:val="00E5275E"/>
    <w:rsid w:val="00E56C3D"/>
    <w:rsid w:val="00E62DA7"/>
    <w:rsid w:val="00E7000D"/>
    <w:rsid w:val="00E701E9"/>
    <w:rsid w:val="00E70825"/>
    <w:rsid w:val="00E70AB9"/>
    <w:rsid w:val="00E713E0"/>
    <w:rsid w:val="00E7350D"/>
    <w:rsid w:val="00E86DE8"/>
    <w:rsid w:val="00E903E9"/>
    <w:rsid w:val="00E91412"/>
    <w:rsid w:val="00E93E10"/>
    <w:rsid w:val="00EA224A"/>
    <w:rsid w:val="00EA45F8"/>
    <w:rsid w:val="00EA6D34"/>
    <w:rsid w:val="00EB3410"/>
    <w:rsid w:val="00EC64D9"/>
    <w:rsid w:val="00EC6E9B"/>
    <w:rsid w:val="00ED726C"/>
    <w:rsid w:val="00EE0456"/>
    <w:rsid w:val="00EE2ABD"/>
    <w:rsid w:val="00EE3CB6"/>
    <w:rsid w:val="00EE68F2"/>
    <w:rsid w:val="00EE6ADC"/>
    <w:rsid w:val="00EE7856"/>
    <w:rsid w:val="00EF0044"/>
    <w:rsid w:val="00EF054A"/>
    <w:rsid w:val="00EF1A43"/>
    <w:rsid w:val="00EF3820"/>
    <w:rsid w:val="00EF3D2C"/>
    <w:rsid w:val="00EF4F27"/>
    <w:rsid w:val="00F05839"/>
    <w:rsid w:val="00F0609D"/>
    <w:rsid w:val="00F10BB3"/>
    <w:rsid w:val="00F12ADA"/>
    <w:rsid w:val="00F12BAF"/>
    <w:rsid w:val="00F15093"/>
    <w:rsid w:val="00F151F1"/>
    <w:rsid w:val="00F15890"/>
    <w:rsid w:val="00F24F14"/>
    <w:rsid w:val="00F25101"/>
    <w:rsid w:val="00F25815"/>
    <w:rsid w:val="00F26542"/>
    <w:rsid w:val="00F31F7D"/>
    <w:rsid w:val="00F32B57"/>
    <w:rsid w:val="00F32B76"/>
    <w:rsid w:val="00F32BB9"/>
    <w:rsid w:val="00F33203"/>
    <w:rsid w:val="00F43EB4"/>
    <w:rsid w:val="00F53B6C"/>
    <w:rsid w:val="00F54CA1"/>
    <w:rsid w:val="00F555C9"/>
    <w:rsid w:val="00F55888"/>
    <w:rsid w:val="00F55ED0"/>
    <w:rsid w:val="00F55F14"/>
    <w:rsid w:val="00F62523"/>
    <w:rsid w:val="00F656C9"/>
    <w:rsid w:val="00F719F6"/>
    <w:rsid w:val="00F729A3"/>
    <w:rsid w:val="00F737DB"/>
    <w:rsid w:val="00F73DA8"/>
    <w:rsid w:val="00F74E4B"/>
    <w:rsid w:val="00F816D2"/>
    <w:rsid w:val="00F82EF6"/>
    <w:rsid w:val="00F837B9"/>
    <w:rsid w:val="00F849D5"/>
    <w:rsid w:val="00F85151"/>
    <w:rsid w:val="00F866F4"/>
    <w:rsid w:val="00F86BB3"/>
    <w:rsid w:val="00F91726"/>
    <w:rsid w:val="00F9202D"/>
    <w:rsid w:val="00F924A7"/>
    <w:rsid w:val="00FA0729"/>
    <w:rsid w:val="00FA073E"/>
    <w:rsid w:val="00FA12C3"/>
    <w:rsid w:val="00FA1BDB"/>
    <w:rsid w:val="00FA39C6"/>
    <w:rsid w:val="00FA6AB5"/>
    <w:rsid w:val="00FB1748"/>
    <w:rsid w:val="00FB2B22"/>
    <w:rsid w:val="00FB745F"/>
    <w:rsid w:val="00FC000C"/>
    <w:rsid w:val="00FC010A"/>
    <w:rsid w:val="00FC086D"/>
    <w:rsid w:val="00FC13B3"/>
    <w:rsid w:val="00FC2D57"/>
    <w:rsid w:val="00FC3503"/>
    <w:rsid w:val="00FC3EAC"/>
    <w:rsid w:val="00FC543E"/>
    <w:rsid w:val="00FC6E88"/>
    <w:rsid w:val="00FD2348"/>
    <w:rsid w:val="00FD4BDF"/>
    <w:rsid w:val="00FD5DEA"/>
    <w:rsid w:val="00FD6434"/>
    <w:rsid w:val="00FE3D9E"/>
    <w:rsid w:val="00FE4477"/>
    <w:rsid w:val="00FE6472"/>
    <w:rsid w:val="00FE73A7"/>
    <w:rsid w:val="00FF1E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E52461"/>
  <w15:chartTrackingRefBased/>
  <w15:docId w15:val="{3FC101E9-026C-4CAC-9C33-3391367DF7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64ED6"/>
  </w:style>
  <w:style w:type="paragraph" w:styleId="Heading1">
    <w:name w:val="heading 1"/>
    <w:basedOn w:val="Normal"/>
    <w:next w:val="Normal"/>
    <w:link w:val="Heading1Char"/>
    <w:uiPriority w:val="9"/>
    <w:qFormat/>
    <w:rsid w:val="0009700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9700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9700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9700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9700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9700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9700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9700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9700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9700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9700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9700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9700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9700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9700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9700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9700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97002"/>
    <w:rPr>
      <w:rFonts w:eastAsiaTheme="majorEastAsia" w:cstheme="majorBidi"/>
      <w:color w:val="272727" w:themeColor="text1" w:themeTint="D8"/>
    </w:rPr>
  </w:style>
  <w:style w:type="paragraph" w:styleId="Title">
    <w:name w:val="Title"/>
    <w:basedOn w:val="Normal"/>
    <w:next w:val="Normal"/>
    <w:link w:val="TitleChar"/>
    <w:uiPriority w:val="10"/>
    <w:qFormat/>
    <w:rsid w:val="0009700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9700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9700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9700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97002"/>
    <w:pPr>
      <w:spacing w:before="160"/>
      <w:jc w:val="center"/>
    </w:pPr>
    <w:rPr>
      <w:i/>
      <w:iCs/>
      <w:color w:val="404040" w:themeColor="text1" w:themeTint="BF"/>
    </w:rPr>
  </w:style>
  <w:style w:type="character" w:customStyle="1" w:styleId="QuoteChar">
    <w:name w:val="Quote Char"/>
    <w:basedOn w:val="DefaultParagraphFont"/>
    <w:link w:val="Quote"/>
    <w:uiPriority w:val="29"/>
    <w:rsid w:val="00097002"/>
    <w:rPr>
      <w:i/>
      <w:iCs/>
      <w:color w:val="404040" w:themeColor="text1" w:themeTint="BF"/>
    </w:rPr>
  </w:style>
  <w:style w:type="paragraph" w:styleId="ListParagraph">
    <w:name w:val="List Paragraph"/>
    <w:basedOn w:val="Normal"/>
    <w:uiPriority w:val="34"/>
    <w:qFormat/>
    <w:rsid w:val="00097002"/>
    <w:pPr>
      <w:ind w:left="720"/>
      <w:contextualSpacing/>
    </w:pPr>
  </w:style>
  <w:style w:type="character" w:styleId="IntenseEmphasis">
    <w:name w:val="Intense Emphasis"/>
    <w:basedOn w:val="DefaultParagraphFont"/>
    <w:uiPriority w:val="21"/>
    <w:qFormat/>
    <w:rsid w:val="00097002"/>
    <w:rPr>
      <w:i/>
      <w:iCs/>
      <w:color w:val="0F4761" w:themeColor="accent1" w:themeShade="BF"/>
    </w:rPr>
  </w:style>
  <w:style w:type="paragraph" w:styleId="IntenseQuote">
    <w:name w:val="Intense Quote"/>
    <w:basedOn w:val="Normal"/>
    <w:next w:val="Normal"/>
    <w:link w:val="IntenseQuoteChar"/>
    <w:uiPriority w:val="30"/>
    <w:qFormat/>
    <w:rsid w:val="0009700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97002"/>
    <w:rPr>
      <w:i/>
      <w:iCs/>
      <w:color w:val="0F4761" w:themeColor="accent1" w:themeShade="BF"/>
    </w:rPr>
  </w:style>
  <w:style w:type="character" w:styleId="IntenseReference">
    <w:name w:val="Intense Reference"/>
    <w:basedOn w:val="DefaultParagraphFont"/>
    <w:uiPriority w:val="32"/>
    <w:qFormat/>
    <w:rsid w:val="00097002"/>
    <w:rPr>
      <w:b/>
      <w:bCs/>
      <w:smallCaps/>
      <w:color w:val="0F4761" w:themeColor="accent1" w:themeShade="BF"/>
      <w:spacing w:val="5"/>
    </w:rPr>
  </w:style>
  <w:style w:type="character" w:styleId="Hyperlink">
    <w:name w:val="Hyperlink"/>
    <w:basedOn w:val="DefaultParagraphFont"/>
    <w:uiPriority w:val="99"/>
    <w:semiHidden/>
    <w:unhideWhenUsed/>
    <w:rsid w:val="00FB745F"/>
    <w:rPr>
      <w:color w:val="0000FF"/>
      <w:u w:val="single"/>
    </w:rPr>
  </w:style>
  <w:style w:type="paragraph" w:styleId="BodyText">
    <w:name w:val="Body Text"/>
    <w:basedOn w:val="Normal"/>
    <w:link w:val="BodyTextChar"/>
    <w:uiPriority w:val="1"/>
    <w:qFormat/>
    <w:rsid w:val="00A174D2"/>
    <w:pPr>
      <w:widowControl w:val="0"/>
      <w:autoSpaceDE w:val="0"/>
      <w:autoSpaceDN w:val="0"/>
      <w:spacing w:after="0" w:line="240" w:lineRule="auto"/>
    </w:pPr>
    <w:rPr>
      <w:rFonts w:ascii="Calibri" w:eastAsia="Calibri" w:hAnsi="Calibri" w:cs="Calibri"/>
      <w:kern w:val="0"/>
      <w14:ligatures w14:val="none"/>
    </w:rPr>
  </w:style>
  <w:style w:type="character" w:customStyle="1" w:styleId="BodyTextChar">
    <w:name w:val="Body Text Char"/>
    <w:basedOn w:val="DefaultParagraphFont"/>
    <w:link w:val="BodyText"/>
    <w:uiPriority w:val="1"/>
    <w:rsid w:val="00A174D2"/>
    <w:rPr>
      <w:rFonts w:ascii="Calibri" w:eastAsia="Calibri" w:hAnsi="Calibri" w:cs="Calibri"/>
      <w:kern w:val="0"/>
      <w14:ligatures w14:val="none"/>
    </w:rPr>
  </w:style>
  <w:style w:type="paragraph" w:styleId="Revision">
    <w:name w:val="Revision"/>
    <w:hidden/>
    <w:uiPriority w:val="99"/>
    <w:semiHidden/>
    <w:rsid w:val="00CD3C3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11</Pages>
  <Words>3387</Words>
  <Characters>19309</Characters>
  <Application>Microsoft Office Word</Application>
  <DocSecurity>0</DocSecurity>
  <Lines>160</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22651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Kurt Wenner</dc:creator>
  <cp:keywords/>
  <dc:description/>
  <cp:lastModifiedBy>Kurt Wenner</cp:lastModifiedBy>
  <cp:revision>2</cp:revision>
  <dcterms:created xsi:type="dcterms:W3CDTF">2026-06-19T14:42:00Z</dcterms:created>
  <dcterms:modified xsi:type="dcterms:W3CDTF">2026-06-19T14:42:00Z</dcterms:modified>
</cp:coreProperties>
</file>